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D2F5" w14:textId="7D1F7F15" w:rsidR="003E396E" w:rsidRPr="00C8178E" w:rsidRDefault="0019149C" w:rsidP="003E3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highlight w:val="yellow"/>
        </w:rPr>
        <w:t>April</w:t>
      </w:r>
      <w:r w:rsidR="003E396E" w:rsidRPr="00C8178E">
        <w:rPr>
          <w:rFonts w:ascii="Times New Roman" w:eastAsia="Times New Roman" w:hAnsi="Times New Roman"/>
          <w:highlight w:val="yellow"/>
        </w:rPr>
        <w:t xml:space="preserve"> XX,</w:t>
      </w:r>
      <w:proofErr w:type="gramEnd"/>
      <w:r w:rsidR="003E396E" w:rsidRPr="00C8178E">
        <w:rPr>
          <w:rFonts w:ascii="Times New Roman" w:eastAsia="Times New Roman" w:hAnsi="Times New Roman"/>
          <w:highlight w:val="yellow"/>
        </w:rPr>
        <w:t xml:space="preserve"> 2023</w:t>
      </w:r>
      <w:r w:rsidR="003E396E" w:rsidRPr="00C8178E">
        <w:rPr>
          <w:rFonts w:ascii="Times New Roman" w:eastAsia="Times New Roman" w:hAnsi="Times New Roman"/>
        </w:rPr>
        <w:t xml:space="preserve"> </w:t>
      </w:r>
    </w:p>
    <w:p w14:paraId="140AEDF4" w14:textId="77777777" w:rsidR="003E396E" w:rsidRPr="00C8178E" w:rsidRDefault="003E396E" w:rsidP="003E3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</w:p>
    <w:p w14:paraId="050A3D2E" w14:textId="77777777" w:rsidR="0019149C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  <w:sectPr w:rsidR="0019149C" w:rsidSect="00E4390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3D48F" w14:textId="29DF652A" w:rsidR="00CE1911" w:rsidRPr="00CE1911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Lina M. Khan</w:t>
      </w:r>
    </w:p>
    <w:p w14:paraId="72AE33F5" w14:textId="295136EA" w:rsidR="00CE1911" w:rsidRPr="00CE1911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Chair</w:t>
      </w:r>
    </w:p>
    <w:p w14:paraId="200C3F2F" w14:textId="0D977981" w:rsidR="00CE1911" w:rsidRPr="00CE1911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Federal Trade Commission</w:t>
      </w:r>
    </w:p>
    <w:p w14:paraId="482DDFFD" w14:textId="77777777" w:rsidR="0019149C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 w:rsidRPr="0019149C">
        <w:rPr>
          <w:rFonts w:ascii="Times New Roman" w:eastAsia="Times New Roman" w:hAnsi="Times New Roman"/>
        </w:rPr>
        <w:t>Office of the Secretary</w:t>
      </w:r>
    </w:p>
    <w:p w14:paraId="375BA12F" w14:textId="77777777" w:rsidR="0019149C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 w:rsidRPr="0019149C">
        <w:rPr>
          <w:rFonts w:ascii="Times New Roman" w:eastAsia="Times New Roman" w:hAnsi="Times New Roman"/>
        </w:rPr>
        <w:t>600 Pennsylvania Avenue NW</w:t>
      </w:r>
    </w:p>
    <w:p w14:paraId="27E92E54" w14:textId="2B85640A" w:rsidR="0019149C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 w:rsidRPr="0019149C">
        <w:rPr>
          <w:rFonts w:ascii="Times New Roman" w:eastAsia="Times New Roman" w:hAnsi="Times New Roman"/>
        </w:rPr>
        <w:t>Suite CC-5610 (Annex C)</w:t>
      </w:r>
    </w:p>
    <w:p w14:paraId="7097DDDA" w14:textId="739EBEAD" w:rsidR="00CE1911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 w:rsidRPr="0019149C">
        <w:rPr>
          <w:rFonts w:ascii="Times New Roman" w:eastAsia="Times New Roman" w:hAnsi="Times New Roman"/>
        </w:rPr>
        <w:t>Washington, DC 20580</w:t>
      </w:r>
    </w:p>
    <w:p w14:paraId="7E9CFF5C" w14:textId="77777777" w:rsidR="0019149C" w:rsidRPr="00C8178E" w:rsidRDefault="0019149C" w:rsidP="00CE1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</w:p>
    <w:p w14:paraId="1F23813A" w14:textId="6BE0FCAE" w:rsidR="003E396E" w:rsidRDefault="003E396E" w:rsidP="00E70CB3">
      <w:pPr>
        <w:ind w:left="720" w:hanging="720"/>
        <w:rPr>
          <w:rFonts w:ascii="Times New Roman" w:eastAsia="Times New Roman" w:hAnsi="Times New Roman"/>
        </w:rPr>
      </w:pPr>
      <w:r w:rsidRPr="00C8178E">
        <w:rPr>
          <w:rFonts w:ascii="Times New Roman" w:eastAsia="Times New Roman" w:hAnsi="Times New Roman"/>
        </w:rPr>
        <w:t>Re:</w:t>
      </w:r>
      <w:r w:rsidRPr="00C8178E">
        <w:rPr>
          <w:rFonts w:ascii="Times New Roman" w:eastAsia="Times New Roman" w:hAnsi="Times New Roman"/>
        </w:rPr>
        <w:tab/>
      </w:r>
      <w:r w:rsidR="0019149C" w:rsidRPr="0019149C">
        <w:rPr>
          <w:rFonts w:ascii="Times New Roman" w:eastAsia="Times New Roman" w:hAnsi="Times New Roman"/>
        </w:rPr>
        <w:t>Non-Compete Clause Rulemaking, Matter No. P201200</w:t>
      </w:r>
    </w:p>
    <w:p w14:paraId="636E502F" w14:textId="77777777" w:rsidR="00E70CB3" w:rsidRPr="00C8178E" w:rsidRDefault="00E70CB3" w:rsidP="00E70CB3">
      <w:pPr>
        <w:ind w:left="720" w:hanging="720"/>
        <w:rPr>
          <w:rFonts w:ascii="Times New Roman" w:eastAsia="Times New Roman" w:hAnsi="Times New Roman"/>
        </w:rPr>
      </w:pPr>
    </w:p>
    <w:p w14:paraId="302147B1" w14:textId="6C75688F" w:rsidR="003E396E" w:rsidRPr="00C8178E" w:rsidRDefault="003E396E" w:rsidP="003E3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</w:rPr>
      </w:pPr>
      <w:r w:rsidRPr="00C8178E">
        <w:rPr>
          <w:rFonts w:ascii="Times New Roman" w:eastAsia="Times New Roman" w:hAnsi="Times New Roman"/>
        </w:rPr>
        <w:t>Dear</w:t>
      </w:r>
      <w:r w:rsidR="0019149C">
        <w:rPr>
          <w:rFonts w:ascii="Times New Roman" w:eastAsia="Times New Roman" w:hAnsi="Times New Roman"/>
        </w:rPr>
        <w:t xml:space="preserve"> Chairwoman Khan</w:t>
      </w:r>
      <w:r w:rsidRPr="00C8178E">
        <w:rPr>
          <w:rFonts w:ascii="Times New Roman" w:eastAsia="Times New Roman" w:hAnsi="Times New Roman"/>
        </w:rPr>
        <w:t>:</w:t>
      </w:r>
    </w:p>
    <w:p w14:paraId="1365E383" w14:textId="77777777" w:rsidR="003E396E" w:rsidRPr="00C8178E" w:rsidRDefault="003E396E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4E6827" w14:textId="3BF3D49D" w:rsidR="00AD384D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149C">
        <w:rPr>
          <w:rFonts w:ascii="Times New Roman" w:hAnsi="Times New Roman" w:cs="Times New Roman"/>
          <w:color w:val="auto"/>
        </w:rPr>
        <w:t xml:space="preserve">On behalf of the undersigned XX organizations representing more than 178,000 osteopathic physicians (DOs) and osteopathic medical students, </w:t>
      </w:r>
      <w:r w:rsidR="0006441A">
        <w:rPr>
          <w:rFonts w:ascii="Times New Roman" w:hAnsi="Times New Roman" w:cs="Times New Roman"/>
          <w:color w:val="auto"/>
        </w:rPr>
        <w:t xml:space="preserve">we </w:t>
      </w:r>
      <w:r w:rsidRPr="0019149C">
        <w:rPr>
          <w:rFonts w:ascii="Times New Roman" w:hAnsi="Times New Roman" w:cs="Times New Roman"/>
          <w:color w:val="auto"/>
        </w:rPr>
        <w:t xml:space="preserve">thank you for this opportunity to comment on the </w:t>
      </w:r>
      <w:r>
        <w:rPr>
          <w:rFonts w:ascii="Times New Roman" w:hAnsi="Times New Roman" w:cs="Times New Roman"/>
          <w:color w:val="auto"/>
        </w:rPr>
        <w:t>Non-Compete Clause Proposed Rule</w:t>
      </w:r>
      <w:r w:rsidRPr="0019149C">
        <w:rPr>
          <w:rFonts w:ascii="Times New Roman" w:hAnsi="Times New Roman" w:cs="Times New Roman"/>
          <w:color w:val="auto"/>
        </w:rPr>
        <w:t>. We appreciate the work that the</w:t>
      </w:r>
      <w:r>
        <w:rPr>
          <w:rFonts w:ascii="Times New Roman" w:hAnsi="Times New Roman" w:cs="Times New Roman"/>
          <w:color w:val="auto"/>
        </w:rPr>
        <w:t xml:space="preserve"> Federal Trade Commission (FTC) has undertaken to ensure that businesses may no longer abuse non-compete clauses to unfairly discourage or limit competition</w:t>
      </w:r>
      <w:r w:rsidR="005C6C65">
        <w:rPr>
          <w:rFonts w:ascii="Times New Roman" w:hAnsi="Times New Roman" w:cs="Times New Roman"/>
          <w:color w:val="auto"/>
        </w:rPr>
        <w:t>.</w:t>
      </w:r>
    </w:p>
    <w:p w14:paraId="00EAC767" w14:textId="08074D5C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2F7DB1" w14:textId="221483E5" w:rsidR="00FE15FE" w:rsidRDefault="00FE15FE" w:rsidP="002E39B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0954">
        <w:rPr>
          <w:rFonts w:ascii="Times New Roman" w:hAnsi="Times New Roman" w:cs="Times New Roman"/>
          <w:b/>
          <w:bCs/>
          <w:color w:val="auto"/>
        </w:rPr>
        <w:t xml:space="preserve">Background </w:t>
      </w:r>
    </w:p>
    <w:p w14:paraId="0814B9B8" w14:textId="77777777" w:rsidR="00FE15FE" w:rsidRPr="00E50954" w:rsidRDefault="00FE15FE" w:rsidP="002E39B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9721054" w14:textId="476B88C3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healthcare industry, and particularly the medical profession, is disproportionately impacted by the abuse of non-compete clauses in employment contracts. As noted in the proposed rule, nearly 45% of physicians are bound by non-compete clauses in their contracts.</w:t>
      </w:r>
      <w:r>
        <w:rPr>
          <w:rStyle w:val="FootnoteReference"/>
          <w:rFonts w:ascii="Times New Roman" w:hAnsi="Times New Roman" w:cs="Times New Roman"/>
          <w:color w:val="auto"/>
        </w:rPr>
        <w:footnoteReference w:id="1"/>
      </w:r>
      <w:r>
        <w:rPr>
          <w:rFonts w:ascii="Times New Roman" w:hAnsi="Times New Roman" w:cs="Times New Roman"/>
          <w:color w:val="auto"/>
        </w:rPr>
        <w:t xml:space="preserve"> These clauses are often used</w:t>
      </w:r>
      <w:r w:rsidR="0006441A">
        <w:rPr>
          <w:rFonts w:ascii="Times New Roman" w:hAnsi="Times New Roman" w:cs="Times New Roman"/>
          <w:color w:val="auto"/>
        </w:rPr>
        <w:t xml:space="preserve"> by employers</w:t>
      </w:r>
      <w:r>
        <w:rPr>
          <w:rFonts w:ascii="Times New Roman" w:hAnsi="Times New Roman" w:cs="Times New Roman"/>
          <w:color w:val="auto"/>
        </w:rPr>
        <w:t xml:space="preserve"> with the intent of limiting competition by preventing physicians from practicing within a certain geographic region. </w:t>
      </w:r>
    </w:p>
    <w:p w14:paraId="2BE362E3" w14:textId="77777777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394CF0" w14:textId="1DAD3EB7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 addition to limiting physicians’ mobility </w:t>
      </w:r>
      <w:r w:rsidR="0006441A">
        <w:rPr>
          <w:rFonts w:ascii="Times New Roman" w:hAnsi="Times New Roman" w:cs="Times New Roman"/>
          <w:color w:val="auto"/>
        </w:rPr>
        <w:t>and</w:t>
      </w:r>
      <w:r>
        <w:rPr>
          <w:rFonts w:ascii="Times New Roman" w:hAnsi="Times New Roman" w:cs="Times New Roman"/>
          <w:color w:val="auto"/>
        </w:rPr>
        <w:t xml:space="preserve"> employment opportunities, the </w:t>
      </w:r>
      <w:r w:rsidR="00E50954">
        <w:rPr>
          <w:rFonts w:ascii="Times New Roman" w:hAnsi="Times New Roman" w:cs="Times New Roman"/>
          <w:color w:val="auto"/>
        </w:rPr>
        <w:t>use of non-competes</w:t>
      </w:r>
      <w:r>
        <w:rPr>
          <w:rFonts w:ascii="Times New Roman" w:hAnsi="Times New Roman" w:cs="Times New Roman"/>
          <w:color w:val="auto"/>
        </w:rPr>
        <w:t xml:space="preserve"> also has a negative impact on patient care and healthcare costs. Larger enterprises based in major metropolitan areas will often acquire</w:t>
      </w:r>
      <w:r w:rsidR="0006441A">
        <w:rPr>
          <w:rFonts w:ascii="Times New Roman" w:hAnsi="Times New Roman" w:cs="Times New Roman"/>
          <w:color w:val="auto"/>
        </w:rPr>
        <w:t xml:space="preserve"> physician</w:t>
      </w:r>
      <w:r>
        <w:rPr>
          <w:rFonts w:ascii="Times New Roman" w:hAnsi="Times New Roman" w:cs="Times New Roman"/>
          <w:color w:val="auto"/>
        </w:rPr>
        <w:t xml:space="preserve"> practices across a broad geographic region, including in communities where the number of providers is limited, and utilize non-competes to </w:t>
      </w:r>
      <w:r w:rsidR="0006441A">
        <w:rPr>
          <w:rFonts w:ascii="Times New Roman" w:hAnsi="Times New Roman" w:cs="Times New Roman"/>
          <w:color w:val="auto"/>
        </w:rPr>
        <w:t xml:space="preserve">restrict </w:t>
      </w:r>
      <w:r>
        <w:rPr>
          <w:rFonts w:ascii="Times New Roman" w:hAnsi="Times New Roman" w:cs="Times New Roman"/>
          <w:color w:val="auto"/>
        </w:rPr>
        <w:t xml:space="preserve">competition across the communities in which they operate. In these communities, enterprises </w:t>
      </w:r>
      <w:proofErr w:type="gramStart"/>
      <w:r>
        <w:rPr>
          <w:rFonts w:ascii="Times New Roman" w:hAnsi="Times New Roman" w:cs="Times New Roman"/>
          <w:color w:val="auto"/>
        </w:rPr>
        <w:t>are able to</w:t>
      </w:r>
      <w:proofErr w:type="gramEnd"/>
      <w:r>
        <w:rPr>
          <w:rFonts w:ascii="Times New Roman" w:hAnsi="Times New Roman" w:cs="Times New Roman"/>
          <w:color w:val="auto"/>
        </w:rPr>
        <w:t xml:space="preserve"> leverage their market share in a manner that results in </w:t>
      </w:r>
      <w:r w:rsidR="0006441A">
        <w:rPr>
          <w:rFonts w:ascii="Times New Roman" w:hAnsi="Times New Roman" w:cs="Times New Roman"/>
          <w:color w:val="auto"/>
        </w:rPr>
        <w:t xml:space="preserve">decreased access to care and </w:t>
      </w:r>
      <w:r>
        <w:rPr>
          <w:rFonts w:ascii="Times New Roman" w:hAnsi="Times New Roman" w:cs="Times New Roman"/>
          <w:color w:val="auto"/>
        </w:rPr>
        <w:t xml:space="preserve">higher costs </w:t>
      </w:r>
      <w:r w:rsidR="0006441A">
        <w:rPr>
          <w:rFonts w:ascii="Times New Roman" w:hAnsi="Times New Roman" w:cs="Times New Roman"/>
          <w:color w:val="auto"/>
        </w:rPr>
        <w:t>for</w:t>
      </w:r>
      <w:r>
        <w:rPr>
          <w:rFonts w:ascii="Times New Roman" w:hAnsi="Times New Roman" w:cs="Times New Roman"/>
          <w:color w:val="auto"/>
        </w:rPr>
        <w:t xml:space="preserve"> consumers. Evidence highlighted in the proposed rule confirms this practice, with one study </w:t>
      </w:r>
      <w:r w:rsidRPr="0019149C">
        <w:rPr>
          <w:rFonts w:ascii="Times New Roman" w:hAnsi="Times New Roman" w:cs="Times New Roman"/>
          <w:color w:val="auto"/>
        </w:rPr>
        <w:t>specific to the healthcare industry f</w:t>
      </w:r>
      <w:r>
        <w:rPr>
          <w:rFonts w:ascii="Times New Roman" w:hAnsi="Times New Roman" w:cs="Times New Roman"/>
          <w:color w:val="auto"/>
        </w:rPr>
        <w:t>inding</w:t>
      </w:r>
      <w:r w:rsidRPr="0019149C">
        <w:rPr>
          <w:rFonts w:ascii="Times New Roman" w:hAnsi="Times New Roman" w:cs="Times New Roman"/>
          <w:color w:val="auto"/>
        </w:rPr>
        <w:t xml:space="preserve"> that as enforceability of non-compete clauses across states increase</w:t>
      </w:r>
      <w:r w:rsidR="0006441A">
        <w:rPr>
          <w:rFonts w:ascii="Times New Roman" w:hAnsi="Times New Roman" w:cs="Times New Roman"/>
          <w:color w:val="auto"/>
        </w:rPr>
        <w:t>d</w:t>
      </w:r>
      <w:r w:rsidRPr="0019149C">
        <w:rPr>
          <w:rFonts w:ascii="Times New Roman" w:hAnsi="Times New Roman" w:cs="Times New Roman"/>
          <w:color w:val="auto"/>
        </w:rPr>
        <w:t>, concentration at the firm level and price of final goods also increased</w:t>
      </w:r>
      <w:r>
        <w:rPr>
          <w:rFonts w:ascii="Times New Roman" w:hAnsi="Times New Roman" w:cs="Times New Roman"/>
          <w:color w:val="auto"/>
        </w:rPr>
        <w:t>.</w:t>
      </w:r>
      <w:r>
        <w:rPr>
          <w:rStyle w:val="FootnoteReference"/>
          <w:rFonts w:ascii="Times New Roman" w:hAnsi="Times New Roman" w:cs="Times New Roman"/>
          <w:color w:val="auto"/>
        </w:rPr>
        <w:footnoteReference w:id="2"/>
      </w:r>
      <w:r w:rsidR="00E36939">
        <w:rPr>
          <w:rFonts w:ascii="Times New Roman" w:hAnsi="Times New Roman" w:cs="Times New Roman"/>
          <w:color w:val="auto"/>
        </w:rPr>
        <w:t xml:space="preserve"> Our healthcare system is currently grappling with the challenge of greater consolidation, including the vertical integration of physician practices with larger health systems. </w:t>
      </w:r>
      <w:r w:rsidR="00295698" w:rsidRPr="00295698">
        <w:rPr>
          <w:rFonts w:ascii="Times New Roman" w:hAnsi="Times New Roman" w:cs="Times New Roman"/>
          <w:color w:val="auto"/>
        </w:rPr>
        <w:t>Between 2010 and 2016, the proportion of primary care practices owned by</w:t>
      </w:r>
      <w:r w:rsidR="00FE15FE">
        <w:rPr>
          <w:rFonts w:ascii="Times New Roman" w:hAnsi="Times New Roman" w:cs="Times New Roman"/>
          <w:color w:val="auto"/>
        </w:rPr>
        <w:t xml:space="preserve"> </w:t>
      </w:r>
      <w:r w:rsidR="00295698" w:rsidRPr="00295698">
        <w:rPr>
          <w:rFonts w:ascii="Times New Roman" w:hAnsi="Times New Roman" w:cs="Times New Roman"/>
          <w:color w:val="auto"/>
        </w:rPr>
        <w:t>hospital</w:t>
      </w:r>
      <w:r w:rsidR="00FE15FE">
        <w:rPr>
          <w:rFonts w:ascii="Times New Roman" w:hAnsi="Times New Roman" w:cs="Times New Roman"/>
          <w:color w:val="auto"/>
        </w:rPr>
        <w:t>s</w:t>
      </w:r>
      <w:r w:rsidR="00E50954">
        <w:rPr>
          <w:rFonts w:ascii="Times New Roman" w:hAnsi="Times New Roman" w:cs="Times New Roman"/>
          <w:color w:val="auto"/>
        </w:rPr>
        <w:t xml:space="preserve"> nationwide</w:t>
      </w:r>
      <w:r w:rsidR="00295698" w:rsidRPr="00295698">
        <w:rPr>
          <w:rFonts w:ascii="Times New Roman" w:hAnsi="Times New Roman" w:cs="Times New Roman"/>
          <w:color w:val="auto"/>
        </w:rPr>
        <w:t xml:space="preserve"> grew from 28% to 44%. Additionally, 39% of </w:t>
      </w:r>
      <w:r w:rsidR="00FE15FE">
        <w:rPr>
          <w:rFonts w:ascii="Times New Roman" w:hAnsi="Times New Roman" w:cs="Times New Roman"/>
          <w:color w:val="auto"/>
        </w:rPr>
        <w:t>healthcare markets</w:t>
      </w:r>
      <w:r w:rsidR="00417418">
        <w:rPr>
          <w:rFonts w:ascii="Times New Roman" w:hAnsi="Times New Roman" w:cs="Times New Roman"/>
          <w:color w:val="auto"/>
        </w:rPr>
        <w:t>, defined by metropolitan statistical areas,</w:t>
      </w:r>
      <w:r w:rsidR="00257544">
        <w:rPr>
          <w:rFonts w:ascii="Times New Roman" w:hAnsi="Times New Roman" w:cs="Times New Roman"/>
          <w:color w:val="auto"/>
        </w:rPr>
        <w:t xml:space="preserve"> </w:t>
      </w:r>
      <w:r w:rsidR="00295698" w:rsidRPr="00295698">
        <w:rPr>
          <w:rFonts w:ascii="Times New Roman" w:hAnsi="Times New Roman" w:cs="Times New Roman"/>
          <w:color w:val="auto"/>
        </w:rPr>
        <w:t>are considered “highly concentrated,” meaning that the</w:t>
      </w:r>
      <w:r w:rsidR="00FE15FE">
        <w:rPr>
          <w:rFonts w:ascii="Times New Roman" w:hAnsi="Times New Roman" w:cs="Times New Roman"/>
          <w:color w:val="auto"/>
        </w:rPr>
        <w:t xml:space="preserve">y are </w:t>
      </w:r>
      <w:r w:rsidR="00295698" w:rsidRPr="00295698">
        <w:rPr>
          <w:rFonts w:ascii="Times New Roman" w:hAnsi="Times New Roman" w:cs="Times New Roman"/>
          <w:color w:val="auto"/>
        </w:rPr>
        <w:lastRenderedPageBreak/>
        <w:t>dominated by a limited number of providers</w:t>
      </w:r>
      <w:r w:rsidR="00295698">
        <w:rPr>
          <w:rFonts w:ascii="Times New Roman" w:hAnsi="Times New Roman" w:cs="Times New Roman"/>
          <w:color w:val="auto"/>
        </w:rPr>
        <w:t>.</w:t>
      </w:r>
      <w:r w:rsidR="00295698">
        <w:rPr>
          <w:rStyle w:val="FootnoteReference"/>
          <w:rFonts w:ascii="Times New Roman" w:hAnsi="Times New Roman" w:cs="Times New Roman"/>
          <w:color w:val="auto"/>
        </w:rPr>
        <w:footnoteReference w:id="3"/>
      </w:r>
      <w:r w:rsidR="00295698">
        <w:rPr>
          <w:rFonts w:ascii="Times New Roman" w:hAnsi="Times New Roman" w:cs="Times New Roman"/>
          <w:color w:val="auto"/>
        </w:rPr>
        <w:t xml:space="preserve"> Non-compete clauses are just one tool that vertically integrated systems utilize to limit competition and grow their market share, with the negative outcome of higher costs and reduced access</w:t>
      </w:r>
      <w:r w:rsidR="009713F8">
        <w:rPr>
          <w:rFonts w:ascii="Times New Roman" w:hAnsi="Times New Roman" w:cs="Times New Roman"/>
          <w:color w:val="auto"/>
        </w:rPr>
        <w:t xml:space="preserve"> for patients</w:t>
      </w:r>
      <w:r w:rsidR="00295698">
        <w:rPr>
          <w:rFonts w:ascii="Times New Roman" w:hAnsi="Times New Roman" w:cs="Times New Roman"/>
          <w:color w:val="auto"/>
        </w:rPr>
        <w:t>.</w:t>
      </w:r>
    </w:p>
    <w:p w14:paraId="55C68E75" w14:textId="77777777" w:rsidR="00AD384D" w:rsidRDefault="00AD384D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FAFD0D" w14:textId="32BD27D1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Osteopathic</w:t>
      </w:r>
      <w:r w:rsidR="002E39B1" w:rsidRPr="002E39B1">
        <w:rPr>
          <w:rFonts w:ascii="Times New Roman" w:hAnsi="Times New Roman" w:cs="Times New Roman"/>
          <w:color w:val="auto"/>
        </w:rPr>
        <w:t xml:space="preserve"> physicians</w:t>
      </w:r>
      <w:r>
        <w:rPr>
          <w:rFonts w:ascii="Times New Roman" w:hAnsi="Times New Roman" w:cs="Times New Roman"/>
          <w:color w:val="auto"/>
        </w:rPr>
        <w:t xml:space="preserve"> play a critical role in our healthcare system, often serving in rural and underserved communities</w:t>
      </w:r>
      <w:r w:rsidR="00FD7BB8">
        <w:rPr>
          <w:rFonts w:ascii="Times New Roman" w:hAnsi="Times New Roman" w:cs="Times New Roman"/>
          <w:color w:val="auto"/>
        </w:rPr>
        <w:t>.</w:t>
      </w:r>
      <w:r w:rsidR="002E39B1" w:rsidRPr="002E39B1">
        <w:rPr>
          <w:rFonts w:ascii="Times New Roman" w:hAnsi="Times New Roman" w:cs="Times New Roman"/>
          <w:color w:val="auto"/>
        </w:rPr>
        <w:t xml:space="preserve"> </w:t>
      </w:r>
      <w:r w:rsidR="002E39B1">
        <w:rPr>
          <w:rFonts w:ascii="Times New Roman" w:hAnsi="Times New Roman" w:cs="Times New Roman"/>
          <w:color w:val="auto"/>
        </w:rPr>
        <w:t xml:space="preserve">As physicians practicing in </w:t>
      </w:r>
      <w:r>
        <w:rPr>
          <w:rFonts w:ascii="Times New Roman" w:hAnsi="Times New Roman" w:cs="Times New Roman"/>
          <w:color w:val="auto"/>
        </w:rPr>
        <w:t>these</w:t>
      </w:r>
      <w:r w:rsidR="002E39B1">
        <w:rPr>
          <w:rFonts w:ascii="Times New Roman" w:hAnsi="Times New Roman" w:cs="Times New Roman"/>
          <w:color w:val="auto"/>
        </w:rPr>
        <w:t xml:space="preserve"> settings, we </w:t>
      </w:r>
      <w:r w:rsidR="00FD7BB8">
        <w:rPr>
          <w:rFonts w:ascii="Times New Roman" w:hAnsi="Times New Roman" w:cs="Times New Roman"/>
          <w:color w:val="auto"/>
        </w:rPr>
        <w:t>have a deep understanding of the factors that influence patients’ access to care, the</w:t>
      </w:r>
      <w:r w:rsidR="002E39B1">
        <w:rPr>
          <w:rFonts w:ascii="Times New Roman" w:hAnsi="Times New Roman" w:cs="Times New Roman"/>
          <w:color w:val="auto"/>
        </w:rPr>
        <w:t xml:space="preserve"> critical </w:t>
      </w:r>
      <w:r w:rsidR="00FD7BB8">
        <w:rPr>
          <w:rFonts w:ascii="Times New Roman" w:hAnsi="Times New Roman" w:cs="Times New Roman"/>
          <w:color w:val="auto"/>
        </w:rPr>
        <w:t xml:space="preserve">need to </w:t>
      </w:r>
      <w:r w:rsidR="002E39B1">
        <w:rPr>
          <w:rFonts w:ascii="Times New Roman" w:hAnsi="Times New Roman" w:cs="Times New Roman"/>
          <w:color w:val="auto"/>
        </w:rPr>
        <w:t xml:space="preserve">maintain continuity of </w:t>
      </w:r>
      <w:r w:rsidR="004874F7">
        <w:rPr>
          <w:rFonts w:ascii="Times New Roman" w:hAnsi="Times New Roman" w:cs="Times New Roman"/>
          <w:color w:val="auto"/>
        </w:rPr>
        <w:t xml:space="preserve">such </w:t>
      </w:r>
      <w:r w:rsidR="002E39B1">
        <w:rPr>
          <w:rFonts w:ascii="Times New Roman" w:hAnsi="Times New Roman" w:cs="Times New Roman"/>
          <w:color w:val="auto"/>
        </w:rPr>
        <w:t>care</w:t>
      </w:r>
      <w:r w:rsidR="00FD7BB8">
        <w:rPr>
          <w:rFonts w:ascii="Times New Roman" w:hAnsi="Times New Roman" w:cs="Times New Roman"/>
          <w:color w:val="auto"/>
        </w:rPr>
        <w:t>,</w:t>
      </w:r>
      <w:r w:rsidR="002E39B1">
        <w:rPr>
          <w:rFonts w:ascii="Times New Roman" w:hAnsi="Times New Roman" w:cs="Times New Roman"/>
          <w:color w:val="auto"/>
        </w:rPr>
        <w:t xml:space="preserve"> and the impact </w:t>
      </w:r>
      <w:r w:rsidR="00D51864">
        <w:rPr>
          <w:rFonts w:ascii="Times New Roman" w:hAnsi="Times New Roman" w:cs="Times New Roman"/>
          <w:color w:val="auto"/>
        </w:rPr>
        <w:t xml:space="preserve">that </w:t>
      </w:r>
      <w:r w:rsidR="002E39B1">
        <w:rPr>
          <w:rFonts w:ascii="Times New Roman" w:hAnsi="Times New Roman" w:cs="Times New Roman"/>
          <w:color w:val="auto"/>
        </w:rPr>
        <w:t>delays in access have on adherence to treatment plans</w:t>
      </w:r>
      <w:r w:rsidR="004874F7">
        <w:rPr>
          <w:rFonts w:ascii="Times New Roman" w:hAnsi="Times New Roman" w:cs="Times New Roman"/>
          <w:color w:val="auto"/>
        </w:rPr>
        <w:t xml:space="preserve"> and ultimately health outcomes</w:t>
      </w:r>
      <w:r w:rsidR="002E39B1">
        <w:rPr>
          <w:rFonts w:ascii="Times New Roman" w:hAnsi="Times New Roman" w:cs="Times New Roman"/>
          <w:color w:val="auto"/>
        </w:rPr>
        <w:t xml:space="preserve">. </w:t>
      </w:r>
      <w:r w:rsidR="00E1158F">
        <w:rPr>
          <w:rFonts w:ascii="Times New Roman" w:hAnsi="Times New Roman" w:cs="Times New Roman"/>
          <w:color w:val="auto"/>
        </w:rPr>
        <w:t>Nearly 99 million Americans reside in a primary care health professional shortage area</w:t>
      </w:r>
      <w:r w:rsidR="00E1158F">
        <w:rPr>
          <w:rStyle w:val="FootnoteReference"/>
          <w:rFonts w:ascii="Times New Roman" w:hAnsi="Times New Roman" w:cs="Times New Roman"/>
          <w:color w:val="auto"/>
        </w:rPr>
        <w:footnoteReference w:id="4"/>
      </w:r>
      <w:r w:rsidR="00E1158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and abuses of non-compete clauses can</w:t>
      </w:r>
      <w:r w:rsidR="00D51864">
        <w:rPr>
          <w:rFonts w:ascii="Times New Roman" w:hAnsi="Times New Roman" w:cs="Times New Roman"/>
          <w:color w:val="auto"/>
        </w:rPr>
        <w:t xml:space="preserve"> further exacerbate</w:t>
      </w:r>
      <w:r>
        <w:rPr>
          <w:rFonts w:ascii="Times New Roman" w:hAnsi="Times New Roman" w:cs="Times New Roman"/>
          <w:color w:val="auto"/>
        </w:rPr>
        <w:t xml:space="preserve"> workforce challenges in many communities. With this perspective, we offer the following feedback </w:t>
      </w:r>
      <w:r w:rsidR="00D51864">
        <w:rPr>
          <w:rFonts w:ascii="Times New Roman" w:hAnsi="Times New Roman" w:cs="Times New Roman"/>
          <w:color w:val="auto"/>
        </w:rPr>
        <w:t xml:space="preserve">in response to the FTC’s request for comments on </w:t>
      </w:r>
      <w:r>
        <w:rPr>
          <w:rFonts w:ascii="Times New Roman" w:hAnsi="Times New Roman" w:cs="Times New Roman"/>
          <w:color w:val="auto"/>
        </w:rPr>
        <w:t>the proposed rule’s provisions.</w:t>
      </w:r>
    </w:p>
    <w:p w14:paraId="5767160B" w14:textId="28C57FEF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C9C8CB" w14:textId="25F79493" w:rsidR="0019149C" w:rsidRPr="00F3460A" w:rsidRDefault="0019149C" w:rsidP="002E39B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460A">
        <w:rPr>
          <w:rFonts w:ascii="Times New Roman" w:hAnsi="Times New Roman" w:cs="Times New Roman"/>
          <w:b/>
          <w:bCs/>
          <w:color w:val="auto"/>
        </w:rPr>
        <w:t xml:space="preserve">Scope of Proposed Rule </w:t>
      </w:r>
    </w:p>
    <w:p w14:paraId="260B7FA1" w14:textId="222C0E1E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0CDA2F" w14:textId="781BA21B" w:rsidR="00F3460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460A">
        <w:rPr>
          <w:rFonts w:ascii="Times New Roman" w:hAnsi="Times New Roman" w:cs="Times New Roman"/>
          <w:color w:val="auto"/>
        </w:rPr>
        <w:t>The rule</w:t>
      </w:r>
      <w:r>
        <w:rPr>
          <w:rFonts w:ascii="Times New Roman" w:hAnsi="Times New Roman" w:cs="Times New Roman"/>
          <w:color w:val="auto"/>
        </w:rPr>
        <w:t xml:space="preserve">, if finalized, </w:t>
      </w:r>
      <w:r w:rsidRPr="00F3460A">
        <w:rPr>
          <w:rFonts w:ascii="Times New Roman" w:hAnsi="Times New Roman" w:cs="Times New Roman"/>
          <w:color w:val="auto"/>
        </w:rPr>
        <w:t xml:space="preserve">would broadly prevent employers from including non-compete clauses in contracts that prevent a worker from seeking or accepting employment or operating a business after the worker is no longer employed by the employer. </w:t>
      </w:r>
      <w:r>
        <w:rPr>
          <w:rFonts w:ascii="Times New Roman" w:hAnsi="Times New Roman" w:cs="Times New Roman"/>
          <w:color w:val="auto"/>
        </w:rPr>
        <w:t xml:space="preserve">To achieve this, the rule would create a new subchapter under </w:t>
      </w:r>
      <w:r w:rsidR="00D51864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>Federal Trade Commission Act</w:t>
      </w:r>
      <w:r w:rsidR="00D51864">
        <w:rPr>
          <w:rFonts w:ascii="Times New Roman" w:hAnsi="Times New Roman" w:cs="Times New Roman"/>
          <w:color w:val="auto"/>
        </w:rPr>
        <w:t>’s</w:t>
      </w:r>
      <w:r>
        <w:rPr>
          <w:rFonts w:ascii="Times New Roman" w:hAnsi="Times New Roman" w:cs="Times New Roman"/>
          <w:color w:val="auto"/>
        </w:rPr>
        <w:t xml:space="preserve"> regulation</w:t>
      </w:r>
      <w:r w:rsidR="00D51864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to </w:t>
      </w:r>
      <w:r w:rsidR="00D51864">
        <w:rPr>
          <w:rFonts w:ascii="Times New Roman" w:hAnsi="Times New Roman" w:cs="Times New Roman"/>
          <w:color w:val="auto"/>
        </w:rPr>
        <w:t xml:space="preserve">designate </w:t>
      </w:r>
      <w:r>
        <w:rPr>
          <w:rFonts w:ascii="Times New Roman" w:hAnsi="Times New Roman" w:cs="Times New Roman"/>
          <w:color w:val="auto"/>
        </w:rPr>
        <w:t xml:space="preserve">non-compete clauses as an unfair </w:t>
      </w:r>
      <w:r w:rsidR="00E50954">
        <w:rPr>
          <w:rFonts w:ascii="Times New Roman" w:hAnsi="Times New Roman" w:cs="Times New Roman"/>
          <w:color w:val="auto"/>
        </w:rPr>
        <w:t>method of</w:t>
      </w:r>
      <w:r w:rsidR="00D518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competition. </w:t>
      </w:r>
    </w:p>
    <w:p w14:paraId="626A7F41" w14:textId="77777777" w:rsidR="00F3460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266B72" w14:textId="516F713C" w:rsidR="0019149C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460A">
        <w:rPr>
          <w:rFonts w:ascii="Times New Roman" w:hAnsi="Times New Roman" w:cs="Times New Roman"/>
          <w:color w:val="auto"/>
        </w:rPr>
        <w:t xml:space="preserve">The rule broadly defines the term “worker” to be inclusive of employees, independent contractors, sole </w:t>
      </w:r>
      <w:r w:rsidR="00F36B6A" w:rsidRPr="00F3460A">
        <w:rPr>
          <w:rFonts w:ascii="Times New Roman" w:hAnsi="Times New Roman" w:cs="Times New Roman"/>
          <w:color w:val="auto"/>
        </w:rPr>
        <w:t>proprietors</w:t>
      </w:r>
      <w:r w:rsidRPr="00F3460A">
        <w:rPr>
          <w:rFonts w:ascii="Times New Roman" w:hAnsi="Times New Roman" w:cs="Times New Roman"/>
          <w:color w:val="auto"/>
        </w:rPr>
        <w:t xml:space="preserve">, volunteers, interns, and any other individuals who work for an employer. </w:t>
      </w:r>
      <w:r>
        <w:rPr>
          <w:rFonts w:ascii="Times New Roman" w:hAnsi="Times New Roman" w:cs="Times New Roman"/>
          <w:color w:val="auto"/>
        </w:rPr>
        <w:t>The</w:t>
      </w:r>
      <w:r w:rsidRPr="00F3460A">
        <w:rPr>
          <w:rFonts w:ascii="Times New Roman" w:hAnsi="Times New Roman" w:cs="Times New Roman"/>
          <w:color w:val="auto"/>
        </w:rPr>
        <w:t xml:space="preserve"> rule </w:t>
      </w:r>
      <w:r>
        <w:rPr>
          <w:rFonts w:ascii="Times New Roman" w:hAnsi="Times New Roman" w:cs="Times New Roman"/>
          <w:color w:val="auto"/>
        </w:rPr>
        <w:t xml:space="preserve">would also </w:t>
      </w:r>
      <w:r w:rsidRPr="00F3460A">
        <w:rPr>
          <w:rFonts w:ascii="Times New Roman" w:hAnsi="Times New Roman" w:cs="Times New Roman"/>
          <w:color w:val="auto"/>
        </w:rPr>
        <w:t>appl</w:t>
      </w:r>
      <w:r>
        <w:rPr>
          <w:rFonts w:ascii="Times New Roman" w:hAnsi="Times New Roman" w:cs="Times New Roman"/>
          <w:color w:val="auto"/>
        </w:rPr>
        <w:t>y</w:t>
      </w:r>
      <w:r w:rsidRPr="00F3460A">
        <w:rPr>
          <w:rFonts w:ascii="Times New Roman" w:hAnsi="Times New Roman" w:cs="Times New Roman"/>
          <w:color w:val="auto"/>
        </w:rPr>
        <w:t xml:space="preserve"> to employees at all skill and compensation levels</w:t>
      </w:r>
      <w:r>
        <w:rPr>
          <w:rFonts w:ascii="Times New Roman" w:hAnsi="Times New Roman" w:cs="Times New Roman"/>
          <w:color w:val="auto"/>
        </w:rPr>
        <w:t xml:space="preserve">. We appreciate the approach that </w:t>
      </w:r>
      <w:r w:rsidR="00FF08A6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>FTC has taken</w:t>
      </w:r>
      <w:r w:rsidR="00FF08A6">
        <w:rPr>
          <w:rFonts w:ascii="Times New Roman" w:hAnsi="Times New Roman" w:cs="Times New Roman"/>
          <w:color w:val="auto"/>
        </w:rPr>
        <w:t xml:space="preserve">, which </w:t>
      </w:r>
      <w:r>
        <w:rPr>
          <w:rFonts w:ascii="Times New Roman" w:hAnsi="Times New Roman" w:cs="Times New Roman"/>
          <w:color w:val="auto"/>
        </w:rPr>
        <w:t>consider</w:t>
      </w:r>
      <w:r w:rsidR="00FF08A6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the broad range of employment and contracting practices that employers adopt in the healthcare space, particularly </w:t>
      </w:r>
      <w:proofErr w:type="gramStart"/>
      <w:r>
        <w:rPr>
          <w:rFonts w:ascii="Times New Roman" w:hAnsi="Times New Roman" w:cs="Times New Roman"/>
          <w:color w:val="auto"/>
        </w:rPr>
        <w:t>in regard to</w:t>
      </w:r>
      <w:proofErr w:type="gramEnd"/>
      <w:r>
        <w:rPr>
          <w:rFonts w:ascii="Times New Roman" w:hAnsi="Times New Roman" w:cs="Times New Roman"/>
          <w:color w:val="auto"/>
        </w:rPr>
        <w:t xml:space="preserve"> physicians.</w:t>
      </w:r>
    </w:p>
    <w:p w14:paraId="1AE931D1" w14:textId="7F28DC4A" w:rsidR="00F3460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80A62A" w14:textId="65ED99DC" w:rsidR="0009671D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defining non-compete clauses,</w:t>
      </w:r>
      <w:r w:rsidR="00FF08A6">
        <w:rPr>
          <w:rFonts w:ascii="Times New Roman" w:hAnsi="Times New Roman" w:cs="Times New Roman"/>
          <w:color w:val="auto"/>
        </w:rPr>
        <w:t xml:space="preserve"> the</w:t>
      </w:r>
      <w:r>
        <w:rPr>
          <w:rFonts w:ascii="Times New Roman" w:hAnsi="Times New Roman" w:cs="Times New Roman"/>
          <w:color w:val="auto"/>
        </w:rPr>
        <w:t xml:space="preserve"> FTC has constructed the rule to apply to clauses based on how they function in employment contracts, rather than based on how they are </w:t>
      </w:r>
      <w:r w:rsidR="00FF08A6">
        <w:rPr>
          <w:rFonts w:ascii="Times New Roman" w:hAnsi="Times New Roman" w:cs="Times New Roman"/>
          <w:color w:val="auto"/>
        </w:rPr>
        <w:t>referenced</w:t>
      </w:r>
      <w:r>
        <w:rPr>
          <w:rFonts w:ascii="Times New Roman" w:hAnsi="Times New Roman" w:cs="Times New Roman"/>
          <w:color w:val="auto"/>
        </w:rPr>
        <w:t xml:space="preserve">. To do this, </w:t>
      </w:r>
      <w:r w:rsidR="00FF08A6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 xml:space="preserve">FTC defines </w:t>
      </w:r>
      <w:r w:rsidR="00FF08A6"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non-compete clause as “</w:t>
      </w:r>
      <w:r w:rsidRPr="00F3460A">
        <w:rPr>
          <w:rFonts w:ascii="Times New Roman" w:hAnsi="Times New Roman" w:cs="Times New Roman"/>
          <w:color w:val="auto"/>
        </w:rPr>
        <w:t>a contractual term between an employer and a worker that prevents the worker from seeking or accepting employment with a person, or operating a business, after the conclusion of the worker's employment with the employer</w:t>
      </w:r>
      <w:r>
        <w:rPr>
          <w:rFonts w:ascii="Times New Roman" w:hAnsi="Times New Roman" w:cs="Times New Roman"/>
          <w:color w:val="auto"/>
        </w:rPr>
        <w:t>”. The definition also includes de facto non-compete clauses that have the effect of prohibiting a “</w:t>
      </w:r>
      <w:r w:rsidRPr="00F3460A">
        <w:rPr>
          <w:rFonts w:ascii="Times New Roman" w:hAnsi="Times New Roman" w:cs="Times New Roman"/>
          <w:color w:val="auto"/>
        </w:rPr>
        <w:t>worker from seeking or accepting employment with a person</w:t>
      </w:r>
      <w:r w:rsidR="00257544">
        <w:rPr>
          <w:rFonts w:ascii="Times New Roman" w:hAnsi="Times New Roman" w:cs="Times New Roman"/>
          <w:color w:val="auto"/>
        </w:rPr>
        <w:t>,</w:t>
      </w:r>
      <w:r w:rsidRPr="00F3460A">
        <w:rPr>
          <w:rFonts w:ascii="Times New Roman" w:hAnsi="Times New Roman" w:cs="Times New Roman"/>
          <w:color w:val="auto"/>
        </w:rPr>
        <w:t xml:space="preserve"> or operating a business</w:t>
      </w:r>
      <w:r w:rsidR="00257544">
        <w:rPr>
          <w:rFonts w:ascii="Times New Roman" w:hAnsi="Times New Roman" w:cs="Times New Roman"/>
          <w:color w:val="auto"/>
        </w:rPr>
        <w:t>,</w:t>
      </w:r>
      <w:r w:rsidRPr="00F3460A">
        <w:rPr>
          <w:rFonts w:ascii="Times New Roman" w:hAnsi="Times New Roman" w:cs="Times New Roman"/>
          <w:color w:val="auto"/>
        </w:rPr>
        <w:t xml:space="preserve"> after the conclusion of the worker's employment with the employer</w:t>
      </w:r>
      <w:r>
        <w:rPr>
          <w:rFonts w:ascii="Times New Roman" w:hAnsi="Times New Roman" w:cs="Times New Roman"/>
          <w:color w:val="auto"/>
        </w:rPr>
        <w:t>.”</w:t>
      </w:r>
      <w:r>
        <w:rPr>
          <w:rStyle w:val="FootnoteReference"/>
          <w:rFonts w:ascii="Times New Roman" w:hAnsi="Times New Roman" w:cs="Times New Roman"/>
          <w:color w:val="auto"/>
        </w:rPr>
        <w:footnoteReference w:id="5"/>
      </w:r>
      <w:r>
        <w:rPr>
          <w:rFonts w:ascii="Times New Roman" w:hAnsi="Times New Roman" w:cs="Times New Roman"/>
          <w:color w:val="auto"/>
        </w:rPr>
        <w:t xml:space="preserve"> This approach, which defines contractual terms based on how they function, will help to broadly prevent the use of restrictive and inappropriate non-competes while not being overly inclusive of all restrictive covenants.</w:t>
      </w:r>
    </w:p>
    <w:p w14:paraId="4FDC73CB" w14:textId="367BDB5C" w:rsidR="00E50954" w:rsidRDefault="00E50954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9B168A" w14:textId="5F064C51" w:rsidR="00E50954" w:rsidRDefault="00E50954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While the AOA opposes the use of non-competes by large enterprises that may control an outsized share of a particular market, there may be limited instances where a non-compete can serve a legitimate business purpose for smaller practices struggling to compete in markets predominantly controlled by </w:t>
      </w:r>
      <w:r w:rsidR="00494666">
        <w:rPr>
          <w:rFonts w:ascii="Times New Roman" w:hAnsi="Times New Roman" w:cs="Times New Roman"/>
          <w:color w:val="auto"/>
        </w:rPr>
        <w:t>a limited number of hospital or health</w:t>
      </w:r>
      <w:r>
        <w:rPr>
          <w:rFonts w:ascii="Times New Roman" w:hAnsi="Times New Roman" w:cs="Times New Roman"/>
          <w:color w:val="auto"/>
        </w:rPr>
        <w:t xml:space="preserve"> systems. While we appreciate </w:t>
      </w:r>
      <w:r w:rsidR="00281C1C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>FTC’s efforts to broadly limit abuses through</w:t>
      </w:r>
      <w:r w:rsidR="00281C1C">
        <w:rPr>
          <w:rFonts w:ascii="Times New Roman" w:hAnsi="Times New Roman" w:cs="Times New Roman"/>
          <w:color w:val="auto"/>
        </w:rPr>
        <w:t xml:space="preserve"> the</w:t>
      </w:r>
      <w:r>
        <w:rPr>
          <w:rFonts w:ascii="Times New Roman" w:hAnsi="Times New Roman" w:cs="Times New Roman"/>
          <w:color w:val="auto"/>
        </w:rPr>
        <w:t xml:space="preserve"> implementation of a categorical ban, we believe a narrowly tailored exception could be developed that balances the need to prevent abusive non-competes with the need to permit those that have a legitimate function to support a healthy market.</w:t>
      </w:r>
    </w:p>
    <w:p w14:paraId="0248AE7F" w14:textId="395AE720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6177D0" w14:textId="5DFC5ED2" w:rsidR="0019149C" w:rsidRPr="00F3460A" w:rsidRDefault="0019149C" w:rsidP="002E39B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460A">
        <w:rPr>
          <w:rFonts w:ascii="Times New Roman" w:hAnsi="Times New Roman" w:cs="Times New Roman"/>
          <w:b/>
          <w:bCs/>
          <w:color w:val="auto"/>
        </w:rPr>
        <w:t>Applicability to Non-Profit Organizations</w:t>
      </w:r>
    </w:p>
    <w:p w14:paraId="35CE7A87" w14:textId="7A61980D" w:rsidR="0019149C" w:rsidRDefault="0019149C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132755" w14:textId="4CE84A6B" w:rsidR="00F3460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="00FF08A6">
        <w:rPr>
          <w:rFonts w:ascii="Times New Roman" w:hAnsi="Times New Roman" w:cs="Times New Roman"/>
          <w:color w:val="auto"/>
        </w:rPr>
        <w:t xml:space="preserve">undersigned groups do have </w:t>
      </w:r>
      <w:r>
        <w:rPr>
          <w:rFonts w:ascii="Times New Roman" w:hAnsi="Times New Roman" w:cs="Times New Roman"/>
          <w:color w:val="auto"/>
        </w:rPr>
        <w:t>concern</w:t>
      </w:r>
      <w:r w:rsidR="00FF08A6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that the rule’s impact in the healthcare market may be limited</w:t>
      </w:r>
      <w:r w:rsidR="00E36939">
        <w:rPr>
          <w:rFonts w:ascii="Times New Roman" w:hAnsi="Times New Roman" w:cs="Times New Roman"/>
          <w:color w:val="auto"/>
        </w:rPr>
        <w:t>, as certain employers</w:t>
      </w:r>
      <w:r w:rsidR="00FF08A6">
        <w:rPr>
          <w:rFonts w:ascii="Times New Roman" w:hAnsi="Times New Roman" w:cs="Times New Roman"/>
          <w:color w:val="auto"/>
        </w:rPr>
        <w:t>,</w:t>
      </w:r>
      <w:r w:rsidR="00E36939">
        <w:rPr>
          <w:rFonts w:ascii="Times New Roman" w:hAnsi="Times New Roman" w:cs="Times New Roman"/>
          <w:color w:val="auto"/>
        </w:rPr>
        <w:t xml:space="preserve"> such as those not subject to the FTC Act, would be exempt. As noted in the proposed rule</w:t>
      </w:r>
      <w:r w:rsidR="00FF08A6">
        <w:rPr>
          <w:rFonts w:ascii="Times New Roman" w:hAnsi="Times New Roman" w:cs="Times New Roman"/>
          <w:color w:val="auto"/>
        </w:rPr>
        <w:t>,</w:t>
      </w:r>
      <w:r w:rsidR="00E36939">
        <w:rPr>
          <w:rFonts w:ascii="Times New Roman" w:hAnsi="Times New Roman" w:cs="Times New Roman"/>
          <w:color w:val="auto"/>
        </w:rPr>
        <w:t xml:space="preserve"> </w:t>
      </w:r>
      <w:r w:rsidR="00FF08A6">
        <w:rPr>
          <w:rFonts w:ascii="Times New Roman" w:hAnsi="Times New Roman" w:cs="Times New Roman"/>
          <w:color w:val="auto"/>
        </w:rPr>
        <w:t xml:space="preserve">exempt employers </w:t>
      </w:r>
      <w:r w:rsidR="00E36939">
        <w:rPr>
          <w:rFonts w:ascii="Times New Roman" w:hAnsi="Times New Roman" w:cs="Times New Roman"/>
          <w:color w:val="auto"/>
        </w:rPr>
        <w:t>would include “</w:t>
      </w:r>
      <w:r w:rsidR="00E36939" w:rsidRPr="00E36939">
        <w:rPr>
          <w:rFonts w:ascii="Times New Roman" w:hAnsi="Times New Roman" w:cs="Times New Roman"/>
          <w:color w:val="auto"/>
        </w:rPr>
        <w:t xml:space="preserve">an entity that is not </w:t>
      </w:r>
      <w:r w:rsidR="00E36939">
        <w:rPr>
          <w:rFonts w:ascii="Times New Roman" w:hAnsi="Times New Roman" w:cs="Times New Roman"/>
          <w:color w:val="auto"/>
        </w:rPr>
        <w:t>‘</w:t>
      </w:r>
      <w:r w:rsidR="00E36939" w:rsidRPr="00E36939">
        <w:rPr>
          <w:rFonts w:ascii="Times New Roman" w:hAnsi="Times New Roman" w:cs="Times New Roman"/>
          <w:color w:val="auto"/>
        </w:rPr>
        <w:t>organized to carry on business for its own profit or that of its members</w:t>
      </w:r>
      <w:r w:rsidR="00E36939">
        <w:rPr>
          <w:rFonts w:ascii="Times New Roman" w:hAnsi="Times New Roman" w:cs="Times New Roman"/>
          <w:color w:val="auto"/>
        </w:rPr>
        <w:t>.’”</w:t>
      </w:r>
      <w:r w:rsidR="00E36939">
        <w:rPr>
          <w:rStyle w:val="FootnoteReference"/>
          <w:rFonts w:ascii="Times New Roman" w:hAnsi="Times New Roman" w:cs="Times New Roman"/>
          <w:color w:val="auto"/>
        </w:rPr>
        <w:footnoteReference w:id="6"/>
      </w:r>
      <w:r w:rsidR="00E36939">
        <w:rPr>
          <w:rFonts w:ascii="Times New Roman" w:hAnsi="Times New Roman" w:cs="Times New Roman"/>
          <w:color w:val="auto"/>
        </w:rPr>
        <w:t xml:space="preserve"> We strongly urge </w:t>
      </w:r>
      <w:r w:rsidR="00FF08A6">
        <w:rPr>
          <w:rFonts w:ascii="Times New Roman" w:hAnsi="Times New Roman" w:cs="Times New Roman"/>
          <w:color w:val="auto"/>
        </w:rPr>
        <w:t xml:space="preserve">the </w:t>
      </w:r>
      <w:r w:rsidR="00E36939">
        <w:rPr>
          <w:rFonts w:ascii="Times New Roman" w:hAnsi="Times New Roman" w:cs="Times New Roman"/>
          <w:color w:val="auto"/>
        </w:rPr>
        <w:t xml:space="preserve">FTC to identify a pathway, including through potential collaboration with other federal agencies, to ensure that non-profit entities are also prohibited from misusing non-compete clauses. Many hospitals and large health systems are registered as non-profit organizations but operate </w:t>
      </w:r>
      <w:proofErr w:type="gramStart"/>
      <w:r w:rsidR="00E36939">
        <w:rPr>
          <w:rFonts w:ascii="Times New Roman" w:hAnsi="Times New Roman" w:cs="Times New Roman"/>
          <w:color w:val="auto"/>
        </w:rPr>
        <w:t>similar to</w:t>
      </w:r>
      <w:proofErr w:type="gramEnd"/>
      <w:r w:rsidR="00E36939">
        <w:rPr>
          <w:rFonts w:ascii="Times New Roman" w:hAnsi="Times New Roman" w:cs="Times New Roman"/>
          <w:color w:val="auto"/>
        </w:rPr>
        <w:t xml:space="preserve"> for-profit businesses through many of their practices. In many cases, these not-for-profit entities can be the dominant healthcare provider within a market, and their use of non-compete clauses can significantly restrict physicians’ employment opportunities </w:t>
      </w:r>
      <w:r w:rsidR="00FF08A6">
        <w:rPr>
          <w:rFonts w:ascii="Times New Roman" w:hAnsi="Times New Roman" w:cs="Times New Roman"/>
          <w:color w:val="auto"/>
        </w:rPr>
        <w:t>and</w:t>
      </w:r>
      <w:r w:rsidR="00E36939">
        <w:rPr>
          <w:rFonts w:ascii="Times New Roman" w:hAnsi="Times New Roman" w:cs="Times New Roman"/>
          <w:color w:val="auto"/>
        </w:rPr>
        <w:t xml:space="preserve"> patient </w:t>
      </w:r>
      <w:r w:rsidR="00E50954">
        <w:rPr>
          <w:rFonts w:ascii="Times New Roman" w:hAnsi="Times New Roman" w:cs="Times New Roman"/>
          <w:color w:val="auto"/>
        </w:rPr>
        <w:t>choice</w:t>
      </w:r>
      <w:r w:rsidR="00E36939">
        <w:rPr>
          <w:rFonts w:ascii="Times New Roman" w:hAnsi="Times New Roman" w:cs="Times New Roman"/>
          <w:color w:val="auto"/>
        </w:rPr>
        <w:t xml:space="preserve">. We urge the </w:t>
      </w:r>
      <w:r w:rsidR="00FF08A6">
        <w:rPr>
          <w:rFonts w:ascii="Times New Roman" w:hAnsi="Times New Roman" w:cs="Times New Roman"/>
          <w:color w:val="auto"/>
        </w:rPr>
        <w:t xml:space="preserve">FTC </w:t>
      </w:r>
      <w:r w:rsidR="00E36939">
        <w:rPr>
          <w:rFonts w:ascii="Times New Roman" w:hAnsi="Times New Roman" w:cs="Times New Roman"/>
          <w:color w:val="auto"/>
        </w:rPr>
        <w:t xml:space="preserve">to identify a pathway to </w:t>
      </w:r>
      <w:r w:rsidR="00FF08A6">
        <w:rPr>
          <w:rFonts w:ascii="Times New Roman" w:hAnsi="Times New Roman" w:cs="Times New Roman"/>
          <w:color w:val="auto"/>
        </w:rPr>
        <w:t xml:space="preserve">prevent </w:t>
      </w:r>
      <w:r w:rsidR="00E36939">
        <w:rPr>
          <w:rFonts w:ascii="Times New Roman" w:hAnsi="Times New Roman" w:cs="Times New Roman"/>
          <w:color w:val="auto"/>
        </w:rPr>
        <w:t xml:space="preserve">non-profits from behaving like for-profit entities </w:t>
      </w:r>
      <w:r w:rsidR="00FF08A6">
        <w:rPr>
          <w:rFonts w:ascii="Times New Roman" w:hAnsi="Times New Roman" w:cs="Times New Roman"/>
          <w:color w:val="auto"/>
        </w:rPr>
        <w:t xml:space="preserve">in ways </w:t>
      </w:r>
      <w:r w:rsidR="00E36939">
        <w:rPr>
          <w:rFonts w:ascii="Times New Roman" w:hAnsi="Times New Roman" w:cs="Times New Roman"/>
          <w:color w:val="auto"/>
        </w:rPr>
        <w:t>that seek to limit market competition.</w:t>
      </w:r>
    </w:p>
    <w:p w14:paraId="3B343F13" w14:textId="77777777" w:rsidR="00F3460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0D784A" w14:textId="53C62875" w:rsidR="0019149C" w:rsidRPr="00F3460A" w:rsidRDefault="0019149C" w:rsidP="002E39B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460A">
        <w:rPr>
          <w:rFonts w:ascii="Times New Roman" w:hAnsi="Times New Roman" w:cs="Times New Roman"/>
          <w:b/>
          <w:bCs/>
          <w:color w:val="auto"/>
        </w:rPr>
        <w:t>Alternative Proposals</w:t>
      </w:r>
      <w:r w:rsidR="00F36B6A">
        <w:rPr>
          <w:rFonts w:ascii="Times New Roman" w:hAnsi="Times New Roman" w:cs="Times New Roman"/>
          <w:b/>
          <w:bCs/>
          <w:color w:val="auto"/>
        </w:rPr>
        <w:t xml:space="preserve"> Considered by </w:t>
      </w:r>
      <w:r w:rsidR="00FF08A6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F36B6A">
        <w:rPr>
          <w:rFonts w:ascii="Times New Roman" w:hAnsi="Times New Roman" w:cs="Times New Roman"/>
          <w:b/>
          <w:bCs/>
          <w:color w:val="auto"/>
        </w:rPr>
        <w:t>FTC</w:t>
      </w:r>
    </w:p>
    <w:p w14:paraId="512EB327" w14:textId="77777777" w:rsidR="00F36B6A" w:rsidRDefault="00F36B6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8516E2" w14:textId="443BA0F4" w:rsidR="00F3460A" w:rsidRPr="00F36B6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F36B6A">
        <w:rPr>
          <w:rFonts w:ascii="Times New Roman" w:hAnsi="Times New Roman" w:cs="Times New Roman"/>
          <w:color w:val="auto"/>
          <w:u w:val="single"/>
        </w:rPr>
        <w:t>Rebutta</w:t>
      </w:r>
      <w:r w:rsidR="00FF08A6">
        <w:rPr>
          <w:rFonts w:ascii="Times New Roman" w:hAnsi="Times New Roman" w:cs="Times New Roman"/>
          <w:color w:val="auto"/>
          <w:u w:val="single"/>
        </w:rPr>
        <w:t>ble</w:t>
      </w:r>
      <w:r w:rsidRPr="00F36B6A">
        <w:rPr>
          <w:rFonts w:ascii="Times New Roman" w:hAnsi="Times New Roman" w:cs="Times New Roman"/>
          <w:color w:val="auto"/>
          <w:u w:val="single"/>
        </w:rPr>
        <w:t xml:space="preserve"> Presumption</w:t>
      </w:r>
    </w:p>
    <w:p w14:paraId="396E8B84" w14:textId="77777777" w:rsidR="00E43903" w:rsidRDefault="00F36B6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Instead of a categorical ban, the FTC </w:t>
      </w:r>
      <w:r w:rsidR="00781013">
        <w:rPr>
          <w:rFonts w:ascii="Times New Roman" w:hAnsi="Times New Roman" w:cs="Times New Roman"/>
          <w:color w:val="auto"/>
        </w:rPr>
        <w:t xml:space="preserve">also </w:t>
      </w:r>
      <w:r>
        <w:rPr>
          <w:rFonts w:ascii="Times New Roman" w:hAnsi="Times New Roman" w:cs="Times New Roman"/>
          <w:color w:val="auto"/>
        </w:rPr>
        <w:t>considered adopting a “rebutta</w:t>
      </w:r>
      <w:r w:rsidR="00FF08A6">
        <w:rPr>
          <w:rFonts w:ascii="Times New Roman" w:hAnsi="Times New Roman" w:cs="Times New Roman"/>
          <w:color w:val="auto"/>
        </w:rPr>
        <w:t>ble</w:t>
      </w:r>
      <w:r>
        <w:rPr>
          <w:rFonts w:ascii="Times New Roman" w:hAnsi="Times New Roman" w:cs="Times New Roman"/>
          <w:color w:val="auto"/>
        </w:rPr>
        <w:t xml:space="preserve"> presumption”</w:t>
      </w:r>
      <w:r w:rsidR="00FF08A6">
        <w:rPr>
          <w:rFonts w:ascii="Times New Roman" w:hAnsi="Times New Roman" w:cs="Times New Roman"/>
          <w:color w:val="auto"/>
        </w:rPr>
        <w:t xml:space="preserve"> of invalidity,</w:t>
      </w:r>
      <w:r>
        <w:rPr>
          <w:rFonts w:ascii="Times New Roman" w:hAnsi="Times New Roman" w:cs="Times New Roman"/>
          <w:color w:val="auto"/>
        </w:rPr>
        <w:t xml:space="preserve"> whereby use of non-compete clauses would be presumptively unlawful but could </w:t>
      </w:r>
      <w:r w:rsidR="00FF08A6">
        <w:rPr>
          <w:rFonts w:ascii="Times New Roman" w:hAnsi="Times New Roman" w:cs="Times New Roman"/>
          <w:color w:val="auto"/>
        </w:rPr>
        <w:t xml:space="preserve">be </w:t>
      </w:r>
      <w:r>
        <w:rPr>
          <w:rFonts w:ascii="Times New Roman" w:hAnsi="Times New Roman" w:cs="Times New Roman"/>
          <w:color w:val="auto"/>
        </w:rPr>
        <w:t xml:space="preserve">permitted if the employer met a certain evidentiary burden demonstrating that the clause </w:t>
      </w:r>
      <w:r w:rsidR="00FF08A6">
        <w:rPr>
          <w:rFonts w:ascii="Times New Roman" w:hAnsi="Times New Roman" w:cs="Times New Roman"/>
          <w:color w:val="auto"/>
        </w:rPr>
        <w:t>wa</w:t>
      </w:r>
      <w:r>
        <w:rPr>
          <w:rFonts w:ascii="Times New Roman" w:hAnsi="Times New Roman" w:cs="Times New Roman"/>
          <w:color w:val="auto"/>
        </w:rPr>
        <w:t>s appropriate and d</w:t>
      </w:r>
      <w:r w:rsidR="00FF08A6">
        <w:rPr>
          <w:rFonts w:ascii="Times New Roman" w:hAnsi="Times New Roman" w:cs="Times New Roman"/>
          <w:color w:val="auto"/>
        </w:rPr>
        <w:t>id</w:t>
      </w:r>
      <w:r>
        <w:rPr>
          <w:rFonts w:ascii="Times New Roman" w:hAnsi="Times New Roman" w:cs="Times New Roman"/>
          <w:color w:val="auto"/>
        </w:rPr>
        <w:t xml:space="preserve"> not unfairly limit competition. For example, in certain metropolitan areas where there is a maldistribution of providers and </w:t>
      </w:r>
      <w:r w:rsidR="00FF08A6">
        <w:rPr>
          <w:rFonts w:ascii="Times New Roman" w:hAnsi="Times New Roman" w:cs="Times New Roman"/>
          <w:color w:val="auto"/>
        </w:rPr>
        <w:t xml:space="preserve">a </w:t>
      </w:r>
      <w:r w:rsidR="00E50954">
        <w:rPr>
          <w:rFonts w:ascii="Times New Roman" w:hAnsi="Times New Roman" w:cs="Times New Roman"/>
          <w:color w:val="auto"/>
        </w:rPr>
        <w:t>limited presence of</w:t>
      </w:r>
      <w:r>
        <w:rPr>
          <w:rFonts w:ascii="Times New Roman" w:hAnsi="Times New Roman" w:cs="Times New Roman"/>
          <w:color w:val="auto"/>
        </w:rPr>
        <w:t xml:space="preserve"> independent practices</w:t>
      </w:r>
      <w:r w:rsidR="00E50954">
        <w:rPr>
          <w:rFonts w:ascii="Times New Roman" w:hAnsi="Times New Roman" w:cs="Times New Roman"/>
          <w:color w:val="auto"/>
        </w:rPr>
        <w:t xml:space="preserve"> relative to physicians affiliated with larger health systems</w:t>
      </w:r>
      <w:r>
        <w:rPr>
          <w:rFonts w:ascii="Times New Roman" w:hAnsi="Times New Roman" w:cs="Times New Roman"/>
          <w:color w:val="auto"/>
        </w:rPr>
        <w:t xml:space="preserve">, the use of non-compete clauses </w:t>
      </w:r>
      <w:r w:rsidR="00E50954">
        <w:rPr>
          <w:rFonts w:ascii="Times New Roman" w:hAnsi="Times New Roman" w:cs="Times New Roman"/>
          <w:color w:val="auto"/>
        </w:rPr>
        <w:t xml:space="preserve">by smaller organizations </w:t>
      </w:r>
      <w:r>
        <w:rPr>
          <w:rFonts w:ascii="Times New Roman" w:hAnsi="Times New Roman" w:cs="Times New Roman"/>
          <w:color w:val="auto"/>
        </w:rPr>
        <w:t xml:space="preserve">could be appropriate and not </w:t>
      </w:r>
      <w:r w:rsidR="00FF08A6">
        <w:rPr>
          <w:rFonts w:ascii="Times New Roman" w:hAnsi="Times New Roman" w:cs="Times New Roman"/>
          <w:color w:val="auto"/>
        </w:rPr>
        <w:t xml:space="preserve">unfairly </w:t>
      </w:r>
      <w:r>
        <w:rPr>
          <w:rFonts w:ascii="Times New Roman" w:hAnsi="Times New Roman" w:cs="Times New Roman"/>
          <w:color w:val="auto"/>
        </w:rPr>
        <w:t xml:space="preserve">limit competition. However, this would need to be determined </w:t>
      </w:r>
      <w:r w:rsidR="00FF08A6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n a case-by-case basis, with the non-compete clause meeting a certain test to demonstrate </w:t>
      </w:r>
      <w:r w:rsidR="00FF08A6">
        <w:rPr>
          <w:rFonts w:ascii="Times New Roman" w:hAnsi="Times New Roman" w:cs="Times New Roman"/>
          <w:color w:val="auto"/>
        </w:rPr>
        <w:t xml:space="preserve">that it protects </w:t>
      </w:r>
      <w:r>
        <w:rPr>
          <w:rFonts w:ascii="Times New Roman" w:hAnsi="Times New Roman" w:cs="Times New Roman"/>
          <w:color w:val="auto"/>
        </w:rPr>
        <w:t>a legitimate business interest.</w:t>
      </w:r>
      <w:r w:rsidR="00E50954">
        <w:rPr>
          <w:rFonts w:ascii="Times New Roman" w:hAnsi="Times New Roman" w:cs="Times New Roman"/>
          <w:color w:val="auto"/>
        </w:rPr>
        <w:t xml:space="preserve"> For example, the size of the business in terms of annual revenue and share of a market could be considered.</w:t>
      </w:r>
      <w:r>
        <w:rPr>
          <w:rFonts w:ascii="Times New Roman" w:hAnsi="Times New Roman" w:cs="Times New Roman"/>
          <w:color w:val="auto"/>
        </w:rPr>
        <w:t xml:space="preserve"> </w:t>
      </w:r>
      <w:r w:rsidR="00FF08A6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 test would </w:t>
      </w:r>
      <w:r w:rsidR="00FF08A6">
        <w:rPr>
          <w:rFonts w:ascii="Times New Roman" w:hAnsi="Times New Roman" w:cs="Times New Roman"/>
          <w:color w:val="auto"/>
        </w:rPr>
        <w:t xml:space="preserve">also </w:t>
      </w:r>
      <w:r>
        <w:rPr>
          <w:rFonts w:ascii="Times New Roman" w:hAnsi="Times New Roman" w:cs="Times New Roman"/>
          <w:color w:val="auto"/>
        </w:rPr>
        <w:t xml:space="preserve">need to be carefully constructed to ensure that </w:t>
      </w:r>
      <w:r w:rsidR="00E50954">
        <w:rPr>
          <w:rFonts w:ascii="Times New Roman" w:hAnsi="Times New Roman" w:cs="Times New Roman"/>
          <w:color w:val="auto"/>
        </w:rPr>
        <w:t xml:space="preserve">any rebuttable presumption only allows exceptions in a limited set of circumstances and prevents large enterprises with substantial legal resources from continuing to abuse non-compete contract clauses. Such a narrow construction will help ensure that </w:t>
      </w:r>
      <w:r>
        <w:rPr>
          <w:rFonts w:ascii="Times New Roman" w:hAnsi="Times New Roman" w:cs="Times New Roman"/>
          <w:color w:val="auto"/>
        </w:rPr>
        <w:t xml:space="preserve">the rule </w:t>
      </w:r>
      <w:r w:rsidR="00781013">
        <w:rPr>
          <w:rFonts w:ascii="Times New Roman" w:hAnsi="Times New Roman" w:cs="Times New Roman"/>
          <w:color w:val="auto"/>
        </w:rPr>
        <w:t xml:space="preserve">serves </w:t>
      </w:r>
      <w:r>
        <w:rPr>
          <w:rFonts w:ascii="Times New Roman" w:hAnsi="Times New Roman" w:cs="Times New Roman"/>
          <w:color w:val="auto"/>
        </w:rPr>
        <w:t>its intended goal</w:t>
      </w:r>
      <w:r w:rsidR="00E50954">
        <w:rPr>
          <w:rFonts w:ascii="Times New Roman" w:hAnsi="Times New Roman" w:cs="Times New Roman"/>
          <w:color w:val="auto"/>
        </w:rPr>
        <w:t xml:space="preserve"> of preventing abuses that limit </w:t>
      </w:r>
      <w:r w:rsidR="0025051C">
        <w:rPr>
          <w:rFonts w:ascii="Times New Roman" w:hAnsi="Times New Roman" w:cs="Times New Roman"/>
          <w:color w:val="auto"/>
        </w:rPr>
        <w:t>competition</w:t>
      </w:r>
      <w:r>
        <w:rPr>
          <w:rFonts w:ascii="Times New Roman" w:hAnsi="Times New Roman" w:cs="Times New Roman"/>
          <w:color w:val="auto"/>
        </w:rPr>
        <w:t>.</w:t>
      </w:r>
      <w:r w:rsidR="00E50954">
        <w:rPr>
          <w:rFonts w:ascii="Times New Roman" w:hAnsi="Times New Roman" w:cs="Times New Roman"/>
          <w:color w:val="auto"/>
        </w:rPr>
        <w:t xml:space="preserve"> Our organizations welcome the opportunity to work with</w:t>
      </w:r>
      <w:r w:rsidR="00281C1C">
        <w:rPr>
          <w:rFonts w:ascii="Times New Roman" w:hAnsi="Times New Roman" w:cs="Times New Roman"/>
          <w:color w:val="auto"/>
        </w:rPr>
        <w:t xml:space="preserve"> the</w:t>
      </w:r>
      <w:r w:rsidR="00E50954">
        <w:rPr>
          <w:rFonts w:ascii="Times New Roman" w:hAnsi="Times New Roman" w:cs="Times New Roman"/>
          <w:color w:val="auto"/>
        </w:rPr>
        <w:t xml:space="preserve"> FTC to develop the implementing rules and legal </w:t>
      </w:r>
      <w:proofErr w:type="gramStart"/>
      <w:r w:rsidR="00E50954">
        <w:rPr>
          <w:rFonts w:ascii="Times New Roman" w:hAnsi="Times New Roman" w:cs="Times New Roman"/>
          <w:color w:val="auto"/>
        </w:rPr>
        <w:t>test</w:t>
      </w:r>
      <w:proofErr w:type="gramEnd"/>
      <w:r w:rsidR="00E50954">
        <w:rPr>
          <w:rFonts w:ascii="Times New Roman" w:hAnsi="Times New Roman" w:cs="Times New Roman"/>
          <w:color w:val="auto"/>
        </w:rPr>
        <w:t xml:space="preserve"> that would be applied under this approach.</w:t>
      </w:r>
    </w:p>
    <w:p w14:paraId="241C46CF" w14:textId="581F0779" w:rsidR="00F36B6A" w:rsidRPr="00E43903" w:rsidRDefault="00F36B6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6B6A">
        <w:rPr>
          <w:rFonts w:ascii="Times New Roman" w:hAnsi="Times New Roman" w:cs="Times New Roman"/>
          <w:color w:val="auto"/>
          <w:u w:val="single"/>
        </w:rPr>
        <w:lastRenderedPageBreak/>
        <w:t>Differentiation</w:t>
      </w:r>
    </w:p>
    <w:p w14:paraId="5AAA5CEB" w14:textId="359CAEDF" w:rsidR="00F36B6A" w:rsidRDefault="00781013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="00F36B6A">
        <w:rPr>
          <w:rFonts w:ascii="Times New Roman" w:hAnsi="Times New Roman" w:cs="Times New Roman"/>
          <w:color w:val="auto"/>
        </w:rPr>
        <w:t xml:space="preserve">FTC notes that it considered constructing the rule in a manner </w:t>
      </w:r>
      <w:r>
        <w:rPr>
          <w:rFonts w:ascii="Times New Roman" w:hAnsi="Times New Roman" w:cs="Times New Roman"/>
          <w:color w:val="auto"/>
        </w:rPr>
        <w:t>that</w:t>
      </w:r>
      <w:r w:rsidR="00F36B6A">
        <w:rPr>
          <w:rFonts w:ascii="Times New Roman" w:hAnsi="Times New Roman" w:cs="Times New Roman"/>
          <w:color w:val="auto"/>
        </w:rPr>
        <w:t xml:space="preserve"> would apply differently to different categories of workers. For example, the rule could apply differently based on income level or employment type. </w:t>
      </w:r>
      <w:r>
        <w:rPr>
          <w:rFonts w:ascii="Times New Roman" w:hAnsi="Times New Roman" w:cs="Times New Roman"/>
          <w:color w:val="auto"/>
        </w:rPr>
        <w:t>Our organizations</w:t>
      </w:r>
      <w:r w:rsidR="00F36B6A">
        <w:rPr>
          <w:rFonts w:ascii="Times New Roman" w:hAnsi="Times New Roman" w:cs="Times New Roman"/>
          <w:color w:val="auto"/>
        </w:rPr>
        <w:t xml:space="preserve"> would urge caution with this approach, as it may not </w:t>
      </w:r>
      <w:r>
        <w:rPr>
          <w:rFonts w:ascii="Times New Roman" w:hAnsi="Times New Roman" w:cs="Times New Roman"/>
          <w:color w:val="auto"/>
        </w:rPr>
        <w:t xml:space="preserve">adequately </w:t>
      </w:r>
      <w:r w:rsidR="00F36B6A">
        <w:rPr>
          <w:rFonts w:ascii="Times New Roman" w:hAnsi="Times New Roman" w:cs="Times New Roman"/>
          <w:color w:val="auto"/>
        </w:rPr>
        <w:t xml:space="preserve">address the </w:t>
      </w:r>
      <w:r>
        <w:rPr>
          <w:rFonts w:ascii="Times New Roman" w:hAnsi="Times New Roman" w:cs="Times New Roman"/>
          <w:color w:val="auto"/>
        </w:rPr>
        <w:t>mis</w:t>
      </w:r>
      <w:r w:rsidR="00F36B6A">
        <w:rPr>
          <w:rFonts w:ascii="Times New Roman" w:hAnsi="Times New Roman" w:cs="Times New Roman"/>
          <w:color w:val="auto"/>
        </w:rPr>
        <w:t>use of non-competes within certain industries, such as healthcare. For example, i</w:t>
      </w:r>
      <w:r>
        <w:rPr>
          <w:rFonts w:ascii="Times New Roman" w:hAnsi="Times New Roman" w:cs="Times New Roman"/>
          <w:color w:val="auto"/>
        </w:rPr>
        <w:t>f a</w:t>
      </w:r>
      <w:r w:rsidR="00E50954">
        <w:rPr>
          <w:rFonts w:ascii="Times New Roman" w:hAnsi="Times New Roman" w:cs="Times New Roman"/>
          <w:color w:val="auto"/>
        </w:rPr>
        <w:t xml:space="preserve"> </w:t>
      </w:r>
      <w:r w:rsidR="00F36B6A">
        <w:rPr>
          <w:rFonts w:ascii="Times New Roman" w:hAnsi="Times New Roman" w:cs="Times New Roman"/>
          <w:color w:val="auto"/>
        </w:rPr>
        <w:t>state</w:t>
      </w:r>
      <w:r w:rsidR="00E50954">
        <w:rPr>
          <w:rFonts w:ascii="Times New Roman" w:hAnsi="Times New Roman" w:cs="Times New Roman"/>
          <w:color w:val="auto"/>
        </w:rPr>
        <w:t xml:space="preserve"> </w:t>
      </w:r>
      <w:r w:rsidR="00F36B6A">
        <w:rPr>
          <w:rFonts w:ascii="Times New Roman" w:hAnsi="Times New Roman" w:cs="Times New Roman"/>
          <w:color w:val="auto"/>
        </w:rPr>
        <w:t>determine</w:t>
      </w:r>
      <w:r>
        <w:rPr>
          <w:rFonts w:ascii="Times New Roman" w:hAnsi="Times New Roman" w:cs="Times New Roman"/>
          <w:color w:val="auto"/>
        </w:rPr>
        <w:t>s</w:t>
      </w:r>
      <w:r w:rsidR="00F36B6A">
        <w:rPr>
          <w:rFonts w:ascii="Times New Roman" w:hAnsi="Times New Roman" w:cs="Times New Roman"/>
          <w:color w:val="auto"/>
        </w:rPr>
        <w:t xml:space="preserve"> the enforceability of non-competes based on an income threshold, such clauses </w:t>
      </w:r>
      <w:r>
        <w:rPr>
          <w:rFonts w:ascii="Times New Roman" w:hAnsi="Times New Roman" w:cs="Times New Roman"/>
          <w:color w:val="auto"/>
        </w:rPr>
        <w:t xml:space="preserve">could </w:t>
      </w:r>
      <w:r w:rsidR="00F36B6A">
        <w:rPr>
          <w:rFonts w:ascii="Times New Roman" w:hAnsi="Times New Roman" w:cs="Times New Roman"/>
          <w:color w:val="auto"/>
        </w:rPr>
        <w:t xml:space="preserve">continue to be used among physicians. If </w:t>
      </w:r>
      <w:r>
        <w:rPr>
          <w:rFonts w:ascii="Times New Roman" w:hAnsi="Times New Roman" w:cs="Times New Roman"/>
          <w:color w:val="auto"/>
        </w:rPr>
        <w:t xml:space="preserve">the </w:t>
      </w:r>
      <w:r w:rsidR="00F36B6A">
        <w:rPr>
          <w:rFonts w:ascii="Times New Roman" w:hAnsi="Times New Roman" w:cs="Times New Roman"/>
          <w:color w:val="auto"/>
        </w:rPr>
        <w:t xml:space="preserve">FTC </w:t>
      </w:r>
      <w:r>
        <w:rPr>
          <w:rFonts w:ascii="Times New Roman" w:hAnsi="Times New Roman" w:cs="Times New Roman"/>
          <w:color w:val="auto"/>
        </w:rPr>
        <w:t xml:space="preserve">does </w:t>
      </w:r>
      <w:r w:rsidR="00F36B6A">
        <w:rPr>
          <w:rFonts w:ascii="Times New Roman" w:hAnsi="Times New Roman" w:cs="Times New Roman"/>
          <w:color w:val="auto"/>
        </w:rPr>
        <w:t>ch</w:t>
      </w:r>
      <w:r>
        <w:rPr>
          <w:rFonts w:ascii="Times New Roman" w:hAnsi="Times New Roman" w:cs="Times New Roman"/>
          <w:color w:val="auto"/>
        </w:rPr>
        <w:t>o</w:t>
      </w:r>
      <w:r w:rsidR="00F36B6A">
        <w:rPr>
          <w:rFonts w:ascii="Times New Roman" w:hAnsi="Times New Roman" w:cs="Times New Roman"/>
          <w:color w:val="auto"/>
        </w:rPr>
        <w:t xml:space="preserve">ose to move forward with this approach, </w:t>
      </w:r>
      <w:r>
        <w:rPr>
          <w:rFonts w:ascii="Times New Roman" w:hAnsi="Times New Roman" w:cs="Times New Roman"/>
          <w:color w:val="auto"/>
        </w:rPr>
        <w:t xml:space="preserve">we urge </w:t>
      </w:r>
      <w:r w:rsidR="00F36B6A">
        <w:rPr>
          <w:rFonts w:ascii="Times New Roman" w:hAnsi="Times New Roman" w:cs="Times New Roman"/>
          <w:color w:val="auto"/>
        </w:rPr>
        <w:t xml:space="preserve">the commission </w:t>
      </w:r>
      <w:r w:rsidR="00E50954">
        <w:rPr>
          <w:rFonts w:ascii="Times New Roman" w:hAnsi="Times New Roman" w:cs="Times New Roman"/>
          <w:color w:val="auto"/>
        </w:rPr>
        <w:t>to</w:t>
      </w:r>
      <w:r w:rsidR="00F36B6A">
        <w:rPr>
          <w:rFonts w:ascii="Times New Roman" w:hAnsi="Times New Roman" w:cs="Times New Roman"/>
          <w:color w:val="auto"/>
        </w:rPr>
        <w:t xml:space="preserve"> consider how rules can be constructed to ensure that it has the intended effect across </w:t>
      </w:r>
      <w:r>
        <w:rPr>
          <w:rFonts w:ascii="Times New Roman" w:hAnsi="Times New Roman" w:cs="Times New Roman"/>
          <w:color w:val="auto"/>
        </w:rPr>
        <w:t xml:space="preserve">all </w:t>
      </w:r>
      <w:r w:rsidR="00E50954">
        <w:rPr>
          <w:rFonts w:ascii="Times New Roman" w:hAnsi="Times New Roman" w:cs="Times New Roman"/>
          <w:color w:val="auto"/>
        </w:rPr>
        <w:t>affected</w:t>
      </w:r>
      <w:r>
        <w:rPr>
          <w:rFonts w:ascii="Times New Roman" w:hAnsi="Times New Roman" w:cs="Times New Roman"/>
          <w:color w:val="auto"/>
        </w:rPr>
        <w:t xml:space="preserve"> </w:t>
      </w:r>
      <w:r w:rsidR="00F36B6A">
        <w:rPr>
          <w:rFonts w:ascii="Times New Roman" w:hAnsi="Times New Roman" w:cs="Times New Roman"/>
          <w:color w:val="auto"/>
        </w:rPr>
        <w:t>industries.</w:t>
      </w:r>
    </w:p>
    <w:p w14:paraId="07EA8A7D" w14:textId="77777777" w:rsidR="00F36B6A" w:rsidRDefault="00F36B6A" w:rsidP="002E39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6E6843" w14:textId="52B8AB05" w:rsidR="00F3460A" w:rsidRPr="00F36B6A" w:rsidRDefault="00F3460A" w:rsidP="002E39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F36B6A">
        <w:rPr>
          <w:rFonts w:ascii="Times New Roman" w:hAnsi="Times New Roman" w:cs="Times New Roman"/>
          <w:color w:val="auto"/>
          <w:u w:val="single"/>
        </w:rPr>
        <w:t>Disclosure or Reporting Rules</w:t>
      </w:r>
    </w:p>
    <w:p w14:paraId="773DABE1" w14:textId="533C9308" w:rsidR="00F36B6A" w:rsidRDefault="00F36B6A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 alternatives to the current proposal,</w:t>
      </w:r>
      <w:r w:rsidR="00781013">
        <w:rPr>
          <w:rFonts w:ascii="Times New Roman" w:hAnsi="Times New Roman" w:cs="Times New Roman"/>
          <w:color w:val="auto"/>
        </w:rPr>
        <w:t xml:space="preserve"> the</w:t>
      </w:r>
      <w:r>
        <w:rPr>
          <w:rFonts w:ascii="Times New Roman" w:hAnsi="Times New Roman" w:cs="Times New Roman"/>
          <w:color w:val="auto"/>
        </w:rPr>
        <w:t xml:space="preserve"> FTC considered establishing disclosure and reporting rules whereby employers would be required to 1) disclose non-compete clauses within contracts prior to the worker’s acceptance of an offer to ensure greater transparency, and 2) report certain information relating to their use of non-compete clauses to the FTC to enable the </w:t>
      </w:r>
      <w:r w:rsidR="00781013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 xml:space="preserve">ommission to monitor </w:t>
      </w:r>
      <w:r w:rsidR="00781013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>use of such clauses. We do not support th</w:t>
      </w:r>
      <w:r w:rsidR="00781013">
        <w:rPr>
          <w:rFonts w:ascii="Times New Roman" w:hAnsi="Times New Roman" w:cs="Times New Roman"/>
          <w:color w:val="auto"/>
        </w:rPr>
        <w:t>is approach</w:t>
      </w:r>
      <w:r>
        <w:rPr>
          <w:rFonts w:ascii="Times New Roman" w:hAnsi="Times New Roman" w:cs="Times New Roman"/>
          <w:color w:val="auto"/>
        </w:rPr>
        <w:t xml:space="preserve"> and </w:t>
      </w:r>
      <w:r w:rsidR="00781013">
        <w:rPr>
          <w:rFonts w:ascii="Times New Roman" w:hAnsi="Times New Roman" w:cs="Times New Roman"/>
          <w:color w:val="auto"/>
        </w:rPr>
        <w:t xml:space="preserve">we </w:t>
      </w:r>
      <w:r>
        <w:rPr>
          <w:rFonts w:ascii="Times New Roman" w:hAnsi="Times New Roman" w:cs="Times New Roman"/>
          <w:color w:val="auto"/>
        </w:rPr>
        <w:t xml:space="preserve">agree with the FTC’s assessment that </w:t>
      </w:r>
      <w:r w:rsidR="00781013">
        <w:rPr>
          <w:rFonts w:ascii="Times New Roman" w:hAnsi="Times New Roman" w:cs="Times New Roman"/>
          <w:color w:val="auto"/>
        </w:rPr>
        <w:t>it</w:t>
      </w:r>
      <w:r>
        <w:rPr>
          <w:rFonts w:ascii="Times New Roman" w:hAnsi="Times New Roman" w:cs="Times New Roman"/>
          <w:color w:val="auto"/>
        </w:rPr>
        <w:t xml:space="preserve"> would be insufficient </w:t>
      </w:r>
      <w:r w:rsidR="00781013">
        <w:rPr>
          <w:rFonts w:ascii="Times New Roman" w:hAnsi="Times New Roman" w:cs="Times New Roman"/>
          <w:color w:val="auto"/>
        </w:rPr>
        <w:t>to</w:t>
      </w:r>
      <w:r>
        <w:rPr>
          <w:rFonts w:ascii="Times New Roman" w:hAnsi="Times New Roman" w:cs="Times New Roman"/>
          <w:color w:val="auto"/>
        </w:rPr>
        <w:t xml:space="preserve"> achiev</w:t>
      </w:r>
      <w:r w:rsidR="00781013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the goal of limiting the </w:t>
      </w:r>
      <w:r w:rsidR="00781013">
        <w:rPr>
          <w:rFonts w:ascii="Times New Roman" w:hAnsi="Times New Roman" w:cs="Times New Roman"/>
          <w:color w:val="auto"/>
        </w:rPr>
        <w:t>mis</w:t>
      </w:r>
      <w:r>
        <w:rPr>
          <w:rFonts w:ascii="Times New Roman" w:hAnsi="Times New Roman" w:cs="Times New Roman"/>
          <w:color w:val="auto"/>
        </w:rPr>
        <w:t>use of non-</w:t>
      </w:r>
      <w:r w:rsidR="00781013">
        <w:rPr>
          <w:rFonts w:ascii="Times New Roman" w:hAnsi="Times New Roman" w:cs="Times New Roman"/>
          <w:color w:val="auto"/>
        </w:rPr>
        <w:t xml:space="preserve">compete </w:t>
      </w:r>
      <w:r>
        <w:rPr>
          <w:rFonts w:ascii="Times New Roman" w:hAnsi="Times New Roman" w:cs="Times New Roman"/>
          <w:color w:val="auto"/>
        </w:rPr>
        <w:t>clauses in employment contracts.</w:t>
      </w:r>
    </w:p>
    <w:p w14:paraId="27090132" w14:textId="77777777" w:rsidR="00F36B6A" w:rsidRPr="00C8178E" w:rsidRDefault="00F36B6A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26465B" w14:textId="6392F344" w:rsidR="006F13A6" w:rsidRPr="00C8178E" w:rsidRDefault="002E39B1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39B1">
        <w:rPr>
          <w:rFonts w:ascii="Times New Roman" w:hAnsi="Times New Roman" w:cs="Times New Roman"/>
          <w:color w:val="auto"/>
        </w:rPr>
        <w:t xml:space="preserve">Once again, </w:t>
      </w:r>
      <w:r w:rsidR="00E36939">
        <w:rPr>
          <w:rFonts w:ascii="Times New Roman" w:hAnsi="Times New Roman" w:cs="Times New Roman"/>
          <w:color w:val="auto"/>
        </w:rPr>
        <w:t xml:space="preserve">our organizations </w:t>
      </w:r>
      <w:r w:rsidR="00781013">
        <w:rPr>
          <w:rFonts w:ascii="Times New Roman" w:hAnsi="Times New Roman" w:cs="Times New Roman"/>
          <w:color w:val="auto"/>
        </w:rPr>
        <w:t>thank you for</w:t>
      </w:r>
      <w:r w:rsidRPr="002E39B1">
        <w:rPr>
          <w:rFonts w:ascii="Times New Roman" w:hAnsi="Times New Roman" w:cs="Times New Roman"/>
          <w:color w:val="auto"/>
        </w:rPr>
        <w:t xml:space="preserve"> the opportunity to comment on th</w:t>
      </w:r>
      <w:r w:rsidR="00AD384D">
        <w:rPr>
          <w:rFonts w:ascii="Times New Roman" w:hAnsi="Times New Roman" w:cs="Times New Roman"/>
          <w:color w:val="auto"/>
        </w:rPr>
        <w:t>is</w:t>
      </w:r>
      <w:r w:rsidRPr="002E39B1">
        <w:rPr>
          <w:rFonts w:ascii="Times New Roman" w:hAnsi="Times New Roman" w:cs="Times New Roman"/>
          <w:color w:val="auto"/>
        </w:rPr>
        <w:t xml:space="preserve"> proposed </w:t>
      </w:r>
      <w:r>
        <w:rPr>
          <w:rFonts w:ascii="Times New Roman" w:hAnsi="Times New Roman" w:cs="Times New Roman"/>
          <w:color w:val="auto"/>
        </w:rPr>
        <w:t>rule</w:t>
      </w:r>
      <w:r w:rsidRPr="002E39B1">
        <w:rPr>
          <w:rFonts w:ascii="Times New Roman" w:hAnsi="Times New Roman" w:cs="Times New Roman"/>
          <w:color w:val="auto"/>
        </w:rPr>
        <w:t xml:space="preserve">. We commend </w:t>
      </w:r>
      <w:r w:rsidR="00781013">
        <w:rPr>
          <w:rFonts w:ascii="Times New Roman" w:hAnsi="Times New Roman" w:cs="Times New Roman"/>
          <w:color w:val="auto"/>
        </w:rPr>
        <w:t xml:space="preserve">the </w:t>
      </w:r>
      <w:r w:rsidR="00F3460A">
        <w:rPr>
          <w:rFonts w:ascii="Times New Roman" w:hAnsi="Times New Roman" w:cs="Times New Roman"/>
          <w:color w:val="auto"/>
        </w:rPr>
        <w:t>FTC</w:t>
      </w:r>
      <w:r w:rsidRPr="002E39B1">
        <w:rPr>
          <w:rFonts w:ascii="Times New Roman" w:hAnsi="Times New Roman" w:cs="Times New Roman"/>
          <w:color w:val="auto"/>
        </w:rPr>
        <w:t xml:space="preserve"> for </w:t>
      </w:r>
      <w:r w:rsidR="00F3460A">
        <w:rPr>
          <w:rFonts w:ascii="Times New Roman" w:hAnsi="Times New Roman" w:cs="Times New Roman"/>
          <w:color w:val="auto"/>
        </w:rPr>
        <w:t xml:space="preserve">working to address unfairly restrictive non-compete clauses which can limit </w:t>
      </w:r>
      <w:r w:rsidR="00781013">
        <w:rPr>
          <w:rFonts w:ascii="Times New Roman" w:hAnsi="Times New Roman" w:cs="Times New Roman"/>
          <w:color w:val="auto"/>
        </w:rPr>
        <w:t xml:space="preserve">patient </w:t>
      </w:r>
      <w:r w:rsidR="00F3460A">
        <w:rPr>
          <w:rFonts w:ascii="Times New Roman" w:hAnsi="Times New Roman" w:cs="Times New Roman"/>
          <w:color w:val="auto"/>
        </w:rPr>
        <w:t>access to care</w:t>
      </w:r>
      <w:r w:rsidR="00781013">
        <w:rPr>
          <w:rFonts w:ascii="Times New Roman" w:hAnsi="Times New Roman" w:cs="Times New Roman"/>
          <w:color w:val="auto"/>
        </w:rPr>
        <w:t xml:space="preserve"> and </w:t>
      </w:r>
      <w:r w:rsidR="00257544">
        <w:rPr>
          <w:rFonts w:ascii="Times New Roman" w:hAnsi="Times New Roman" w:cs="Times New Roman"/>
          <w:color w:val="auto"/>
        </w:rPr>
        <w:t>drive-up</w:t>
      </w:r>
      <w:r w:rsidR="00781013">
        <w:rPr>
          <w:rFonts w:ascii="Times New Roman" w:hAnsi="Times New Roman" w:cs="Times New Roman"/>
          <w:color w:val="auto"/>
        </w:rPr>
        <w:t xml:space="preserve"> healthcare costs</w:t>
      </w:r>
      <w:r w:rsidRPr="002E39B1">
        <w:rPr>
          <w:rFonts w:ascii="Times New Roman" w:hAnsi="Times New Roman" w:cs="Times New Roman"/>
          <w:color w:val="auto"/>
        </w:rPr>
        <w:t xml:space="preserve">. </w:t>
      </w:r>
      <w:r w:rsidR="00E36939">
        <w:rPr>
          <w:rFonts w:ascii="Times New Roman" w:hAnsi="Times New Roman" w:cs="Times New Roman"/>
          <w:color w:val="auto"/>
        </w:rPr>
        <w:t xml:space="preserve">We </w:t>
      </w:r>
      <w:r w:rsidRPr="002E39B1">
        <w:rPr>
          <w:rFonts w:ascii="Times New Roman" w:hAnsi="Times New Roman" w:cs="Times New Roman"/>
          <w:color w:val="auto"/>
        </w:rPr>
        <w:t xml:space="preserve">look forward to continuing to work with </w:t>
      </w:r>
      <w:r w:rsidR="00781013">
        <w:rPr>
          <w:rFonts w:ascii="Times New Roman" w:hAnsi="Times New Roman" w:cs="Times New Roman"/>
          <w:color w:val="auto"/>
        </w:rPr>
        <w:t xml:space="preserve">the </w:t>
      </w:r>
      <w:r w:rsidR="00F3460A">
        <w:rPr>
          <w:rFonts w:ascii="Times New Roman" w:hAnsi="Times New Roman" w:cs="Times New Roman"/>
          <w:color w:val="auto"/>
        </w:rPr>
        <w:t>FTC</w:t>
      </w:r>
      <w:r w:rsidRPr="002E39B1">
        <w:rPr>
          <w:rFonts w:ascii="Times New Roman" w:hAnsi="Times New Roman" w:cs="Times New Roman"/>
          <w:color w:val="auto"/>
        </w:rPr>
        <w:t xml:space="preserve"> </w:t>
      </w:r>
      <w:r w:rsidR="00D07C37">
        <w:rPr>
          <w:rFonts w:ascii="Times New Roman" w:hAnsi="Times New Roman" w:cs="Times New Roman"/>
          <w:color w:val="auto"/>
        </w:rPr>
        <w:t>as it</w:t>
      </w:r>
      <w:r w:rsidRPr="002E39B1">
        <w:rPr>
          <w:rFonts w:ascii="Times New Roman" w:hAnsi="Times New Roman" w:cs="Times New Roman"/>
          <w:color w:val="auto"/>
        </w:rPr>
        <w:t xml:space="preserve"> develop</w:t>
      </w:r>
      <w:r w:rsidR="00D07C37">
        <w:rPr>
          <w:rFonts w:ascii="Times New Roman" w:hAnsi="Times New Roman" w:cs="Times New Roman"/>
          <w:color w:val="auto"/>
        </w:rPr>
        <w:t>s</w:t>
      </w:r>
      <w:r w:rsidRPr="002E39B1">
        <w:rPr>
          <w:rFonts w:ascii="Times New Roman" w:hAnsi="Times New Roman" w:cs="Times New Roman"/>
          <w:color w:val="auto"/>
        </w:rPr>
        <w:t xml:space="preserve"> final regulations. Should you have any questions regarding our comments or recommendations, please </w:t>
      </w:r>
      <w:r w:rsidR="0061567E" w:rsidRPr="00C8178E">
        <w:rPr>
          <w:rFonts w:ascii="Times New Roman" w:hAnsi="Times New Roman" w:cs="Times New Roman"/>
          <w:color w:val="auto"/>
        </w:rPr>
        <w:t xml:space="preserve">contact John-Michael Villarama, </w:t>
      </w:r>
      <w:r w:rsidR="00F10249" w:rsidRPr="00C8178E">
        <w:rPr>
          <w:rFonts w:ascii="Times New Roman" w:hAnsi="Times New Roman" w:cs="Times New Roman"/>
          <w:color w:val="auto"/>
        </w:rPr>
        <w:t xml:space="preserve">MA, </w:t>
      </w:r>
      <w:r w:rsidR="0061567E" w:rsidRPr="00C8178E">
        <w:rPr>
          <w:rFonts w:ascii="Times New Roman" w:hAnsi="Times New Roman" w:cs="Times New Roman"/>
          <w:color w:val="auto"/>
        </w:rPr>
        <w:t xml:space="preserve">AOA Vice President of Public Policy, at (202) 349-8748 </w:t>
      </w:r>
      <w:r w:rsidR="00EB2674" w:rsidRPr="00C8178E">
        <w:rPr>
          <w:rFonts w:ascii="Times New Roman" w:hAnsi="Times New Roman" w:cs="Times New Roman"/>
          <w:color w:val="auto"/>
        </w:rPr>
        <w:t xml:space="preserve">or </w:t>
      </w:r>
      <w:hyperlink r:id="rId9" w:history="1">
        <w:r w:rsidR="00EB2674" w:rsidRPr="00C8178E">
          <w:rPr>
            <w:rStyle w:val="Hyperlink"/>
            <w:rFonts w:ascii="Times New Roman" w:hAnsi="Times New Roman" w:cs="Times New Roman"/>
          </w:rPr>
          <w:t>jvillarama@osteopathic.org</w:t>
        </w:r>
      </w:hyperlink>
      <w:r w:rsidR="00EB2674" w:rsidRPr="00C8178E">
        <w:rPr>
          <w:rFonts w:ascii="Times New Roman" w:hAnsi="Times New Roman" w:cs="Times New Roman"/>
          <w:color w:val="auto"/>
        </w:rPr>
        <w:t xml:space="preserve"> </w:t>
      </w:r>
      <w:r w:rsidR="0061567E" w:rsidRPr="00C8178E">
        <w:rPr>
          <w:rFonts w:ascii="Times New Roman" w:hAnsi="Times New Roman" w:cs="Times New Roman"/>
          <w:color w:val="auto"/>
        </w:rPr>
        <w:t>at any time.</w:t>
      </w:r>
    </w:p>
    <w:p w14:paraId="012D3DE9" w14:textId="77777777" w:rsidR="003C73F6" w:rsidRPr="00C8178E" w:rsidRDefault="003C73F6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40629D" w14:textId="1E5195B7" w:rsidR="009273AA" w:rsidRDefault="009273AA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178E">
        <w:rPr>
          <w:rFonts w:ascii="Times New Roman" w:hAnsi="Times New Roman" w:cs="Times New Roman"/>
          <w:color w:val="auto"/>
        </w:rPr>
        <w:t>Sincerely,</w:t>
      </w:r>
    </w:p>
    <w:p w14:paraId="7BDD8E5F" w14:textId="40F52742" w:rsidR="00BA2DD2" w:rsidRPr="00C8178E" w:rsidRDefault="00BA2DD2" w:rsidP="006156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AA7911" w14:textId="77777777" w:rsidR="00E36939" w:rsidRDefault="00E36939" w:rsidP="00E36939">
      <w:pPr>
        <w:pStyle w:val="Default"/>
        <w:rPr>
          <w:rFonts w:ascii="Times New Roman" w:hAnsi="Times New Roman" w:cs="Times New Roman"/>
          <w:color w:val="auto"/>
        </w:rPr>
      </w:pPr>
    </w:p>
    <w:p w14:paraId="37EBC368" w14:textId="65897500" w:rsidR="00977657" w:rsidRPr="00C8178E" w:rsidRDefault="00977657" w:rsidP="00E36939">
      <w:pPr>
        <w:pStyle w:val="Default"/>
        <w:rPr>
          <w:rFonts w:ascii="Times New Roman" w:hAnsi="Times New Roman" w:cs="Times New Roman"/>
          <w:color w:val="auto"/>
        </w:rPr>
      </w:pPr>
    </w:p>
    <w:sectPr w:rsidR="00977657" w:rsidRPr="00C8178E" w:rsidSect="0019149C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4205" w14:textId="77777777" w:rsidR="00B745D4" w:rsidRDefault="00B745D4" w:rsidP="00977657">
      <w:r>
        <w:separator/>
      </w:r>
    </w:p>
  </w:endnote>
  <w:endnote w:type="continuationSeparator" w:id="0">
    <w:p w14:paraId="7700F0C0" w14:textId="77777777" w:rsidR="00B745D4" w:rsidRDefault="00B745D4" w:rsidP="0097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F8D" w14:textId="77777777" w:rsidR="00B745D4" w:rsidRDefault="00B745D4" w:rsidP="00977657">
      <w:r>
        <w:separator/>
      </w:r>
    </w:p>
  </w:footnote>
  <w:footnote w:type="continuationSeparator" w:id="0">
    <w:p w14:paraId="220BF071" w14:textId="77777777" w:rsidR="00B745D4" w:rsidRDefault="00B745D4" w:rsidP="00977657">
      <w:r>
        <w:continuationSeparator/>
      </w:r>
    </w:p>
  </w:footnote>
  <w:footnote w:id="1">
    <w:p w14:paraId="667719A4" w14:textId="0EC905BD" w:rsidR="0019149C" w:rsidRDefault="00191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49C">
        <w:t xml:space="preserve">Kurt </w:t>
      </w:r>
      <w:proofErr w:type="spellStart"/>
      <w:r w:rsidRPr="0019149C">
        <w:t>Lavetti</w:t>
      </w:r>
      <w:proofErr w:type="spellEnd"/>
      <w:r w:rsidRPr="0019149C">
        <w:t>, Carol Simon, &amp; William D. White, “The Impacts of Restricting Mobility of Skilled Service Workers Evidence from Physicians”, 55 J. Hum. Res. 1025, 1042 (2020)</w:t>
      </w:r>
    </w:p>
  </w:footnote>
  <w:footnote w:id="2">
    <w:p w14:paraId="123A8EEA" w14:textId="7BE42763" w:rsidR="0019149C" w:rsidRDefault="00191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49C">
        <w:t xml:space="preserve">Naomi Hausman &amp; Kurt </w:t>
      </w:r>
      <w:proofErr w:type="spellStart"/>
      <w:r w:rsidRPr="0019149C">
        <w:t>Lavetti</w:t>
      </w:r>
      <w:proofErr w:type="spellEnd"/>
      <w:r w:rsidRPr="0019149C">
        <w:t>, “Physician Practice Organization and Negotiated Prices: Evidence from State Law Changes”, 13 Am. Econ. J. Applied Econ. 258, 284 (2021)</w:t>
      </w:r>
    </w:p>
  </w:footnote>
  <w:footnote w:id="3">
    <w:p w14:paraId="68187EB6" w14:textId="1486576B" w:rsidR="00295698" w:rsidRDefault="00295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0954" w:rsidRPr="00E50954">
        <w:t xml:space="preserve">Brent D. Fulton. “Health Care Market Concentration Trends </w:t>
      </w:r>
      <w:proofErr w:type="gramStart"/>
      <w:r w:rsidR="00E50954" w:rsidRPr="00E50954">
        <w:t>In</w:t>
      </w:r>
      <w:proofErr w:type="gramEnd"/>
      <w:r w:rsidR="00E50954" w:rsidRPr="00E50954">
        <w:t xml:space="preserve"> The United States: Evidence And Policy Responses.” Health Affairs 36, no. 9 (September 1, 2017): 1530–38.</w:t>
      </w:r>
    </w:p>
  </w:footnote>
  <w:footnote w:id="4">
    <w:p w14:paraId="0DDCB659" w14:textId="429089B0" w:rsidR="00E1158F" w:rsidRDefault="00E11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1158F">
          <w:rPr>
            <w:rStyle w:val="Hyperlink"/>
          </w:rPr>
          <w:t>Health Resource &amp; Services Administration</w:t>
        </w:r>
      </w:hyperlink>
      <w:r>
        <w:t xml:space="preserve">, 2022. </w:t>
      </w:r>
    </w:p>
  </w:footnote>
  <w:footnote w:id="5">
    <w:p w14:paraId="5834FFAA" w14:textId="7EA01FCE" w:rsidR="00F3460A" w:rsidRDefault="00F3460A">
      <w:pPr>
        <w:pStyle w:val="FootnoteText"/>
      </w:pPr>
      <w:r>
        <w:rPr>
          <w:rStyle w:val="FootnoteReference"/>
        </w:rPr>
        <w:footnoteRef/>
      </w:r>
      <w:r>
        <w:t xml:space="preserve"> Federal Trade Commission. “Non-Compete Clause Rule”. </w:t>
      </w:r>
      <w:r w:rsidRPr="00E36939">
        <w:rPr>
          <w:i/>
          <w:iCs/>
        </w:rPr>
        <w:t>Federal Register</w:t>
      </w:r>
      <w:r w:rsidR="00E36939">
        <w:t>. January 19, 2023.</w:t>
      </w:r>
    </w:p>
  </w:footnote>
  <w:footnote w:id="6">
    <w:p w14:paraId="231EA4B7" w14:textId="3F99F80E" w:rsidR="00E36939" w:rsidRDefault="00E36939">
      <w:pPr>
        <w:pStyle w:val="FootnoteText"/>
      </w:pPr>
      <w:r>
        <w:rPr>
          <w:rStyle w:val="FootnoteReference"/>
        </w:rPr>
        <w:footnoteRef/>
      </w:r>
      <w:r>
        <w:t xml:space="preserve"> Federal Trade Commission. “Non-Compete Clause Rule”. </w:t>
      </w:r>
      <w:r w:rsidRPr="00E36939">
        <w:rPr>
          <w:i/>
          <w:iCs/>
        </w:rPr>
        <w:t>Federal Register</w:t>
      </w:r>
      <w:r>
        <w:t>. January 19,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C4B" w14:textId="5F139F39" w:rsidR="00025550" w:rsidRDefault="00E43903">
    <w:pPr>
      <w:pStyle w:val="Header"/>
    </w:pPr>
    <w:sdt>
      <w:sdtPr>
        <w:id w:val="15165821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0DB2D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06C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E24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B9E6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5603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CA2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A160E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D8AE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8C1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32E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AE6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4F0D"/>
    <w:multiLevelType w:val="hybridMultilevel"/>
    <w:tmpl w:val="FC1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66A2F"/>
    <w:multiLevelType w:val="hybridMultilevel"/>
    <w:tmpl w:val="09C647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BF54C37"/>
    <w:multiLevelType w:val="hybridMultilevel"/>
    <w:tmpl w:val="3460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D4ADD"/>
    <w:multiLevelType w:val="hybridMultilevel"/>
    <w:tmpl w:val="3EF4A810"/>
    <w:lvl w:ilvl="0" w:tplc="7DC6AB1E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517F"/>
    <w:multiLevelType w:val="hybridMultilevel"/>
    <w:tmpl w:val="7EE47624"/>
    <w:lvl w:ilvl="0" w:tplc="7DC6AB1E">
      <w:start w:val="21"/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1C7580"/>
    <w:multiLevelType w:val="hybridMultilevel"/>
    <w:tmpl w:val="166C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97EC2"/>
    <w:multiLevelType w:val="hybridMultilevel"/>
    <w:tmpl w:val="A6B6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1F48"/>
    <w:multiLevelType w:val="hybridMultilevel"/>
    <w:tmpl w:val="AAE48E94"/>
    <w:lvl w:ilvl="0" w:tplc="7DC6AB1E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32695">
    <w:abstractNumId w:val="10"/>
  </w:num>
  <w:num w:numId="2" w16cid:durableId="1724131091">
    <w:abstractNumId w:val="8"/>
  </w:num>
  <w:num w:numId="3" w16cid:durableId="1004865937">
    <w:abstractNumId w:val="7"/>
  </w:num>
  <w:num w:numId="4" w16cid:durableId="612127064">
    <w:abstractNumId w:val="6"/>
  </w:num>
  <w:num w:numId="5" w16cid:durableId="1490436851">
    <w:abstractNumId w:val="5"/>
  </w:num>
  <w:num w:numId="6" w16cid:durableId="821700129">
    <w:abstractNumId w:val="9"/>
  </w:num>
  <w:num w:numId="7" w16cid:durableId="1820877844">
    <w:abstractNumId w:val="4"/>
  </w:num>
  <w:num w:numId="8" w16cid:durableId="519439410">
    <w:abstractNumId w:val="3"/>
  </w:num>
  <w:num w:numId="9" w16cid:durableId="442771417">
    <w:abstractNumId w:val="2"/>
  </w:num>
  <w:num w:numId="10" w16cid:durableId="1552158588">
    <w:abstractNumId w:val="1"/>
  </w:num>
  <w:num w:numId="11" w16cid:durableId="794131334">
    <w:abstractNumId w:val="0"/>
  </w:num>
  <w:num w:numId="12" w16cid:durableId="356976402">
    <w:abstractNumId w:val="16"/>
  </w:num>
  <w:num w:numId="13" w16cid:durableId="1273173077">
    <w:abstractNumId w:val="14"/>
  </w:num>
  <w:num w:numId="14" w16cid:durableId="1629624684">
    <w:abstractNumId w:val="18"/>
  </w:num>
  <w:num w:numId="15" w16cid:durableId="953100909">
    <w:abstractNumId w:val="17"/>
  </w:num>
  <w:num w:numId="16" w16cid:durableId="1698193036">
    <w:abstractNumId w:val="15"/>
  </w:num>
  <w:num w:numId="17" w16cid:durableId="1515221526">
    <w:abstractNumId w:val="12"/>
  </w:num>
  <w:num w:numId="18" w16cid:durableId="1877621149">
    <w:abstractNumId w:val="11"/>
  </w:num>
  <w:num w:numId="19" w16cid:durableId="239875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25"/>
    <w:rsid w:val="00007771"/>
    <w:rsid w:val="0002347D"/>
    <w:rsid w:val="00025550"/>
    <w:rsid w:val="000316B9"/>
    <w:rsid w:val="00037315"/>
    <w:rsid w:val="0006441A"/>
    <w:rsid w:val="00064E0E"/>
    <w:rsid w:val="000653ED"/>
    <w:rsid w:val="00073B6C"/>
    <w:rsid w:val="0007771E"/>
    <w:rsid w:val="000829FA"/>
    <w:rsid w:val="00085554"/>
    <w:rsid w:val="0009671D"/>
    <w:rsid w:val="000A49ED"/>
    <w:rsid w:val="000A6E78"/>
    <w:rsid w:val="000C3A78"/>
    <w:rsid w:val="000D3669"/>
    <w:rsid w:val="000E06F4"/>
    <w:rsid w:val="000E2E95"/>
    <w:rsid w:val="000F690D"/>
    <w:rsid w:val="0010359B"/>
    <w:rsid w:val="0010691D"/>
    <w:rsid w:val="00114D29"/>
    <w:rsid w:val="00125A2F"/>
    <w:rsid w:val="001277DD"/>
    <w:rsid w:val="00131574"/>
    <w:rsid w:val="0014050B"/>
    <w:rsid w:val="00140F81"/>
    <w:rsid w:val="00143EA4"/>
    <w:rsid w:val="001533F3"/>
    <w:rsid w:val="00174F28"/>
    <w:rsid w:val="001820F9"/>
    <w:rsid w:val="001824FB"/>
    <w:rsid w:val="0019149C"/>
    <w:rsid w:val="00194244"/>
    <w:rsid w:val="0019776D"/>
    <w:rsid w:val="001A5A42"/>
    <w:rsid w:val="001B0A58"/>
    <w:rsid w:val="001B1C98"/>
    <w:rsid w:val="001B59E8"/>
    <w:rsid w:val="001C017C"/>
    <w:rsid w:val="001C0B59"/>
    <w:rsid w:val="001C1EE2"/>
    <w:rsid w:val="001C32E9"/>
    <w:rsid w:val="001C4A87"/>
    <w:rsid w:val="001D0DD5"/>
    <w:rsid w:val="001D15DD"/>
    <w:rsid w:val="001D65CD"/>
    <w:rsid w:val="001E32F0"/>
    <w:rsid w:val="001F15DD"/>
    <w:rsid w:val="001F2D7C"/>
    <w:rsid w:val="00200289"/>
    <w:rsid w:val="0020605B"/>
    <w:rsid w:val="00214A8D"/>
    <w:rsid w:val="0022243A"/>
    <w:rsid w:val="002310BA"/>
    <w:rsid w:val="00243D4B"/>
    <w:rsid w:val="0025051C"/>
    <w:rsid w:val="00257544"/>
    <w:rsid w:val="00280033"/>
    <w:rsid w:val="00281C1C"/>
    <w:rsid w:val="002871D7"/>
    <w:rsid w:val="002910AE"/>
    <w:rsid w:val="00295698"/>
    <w:rsid w:val="0029594A"/>
    <w:rsid w:val="002B04EC"/>
    <w:rsid w:val="002C02B9"/>
    <w:rsid w:val="002C22A1"/>
    <w:rsid w:val="002C5CE6"/>
    <w:rsid w:val="002D0C5E"/>
    <w:rsid w:val="002D583F"/>
    <w:rsid w:val="002E39B1"/>
    <w:rsid w:val="002E64F1"/>
    <w:rsid w:val="002F22E0"/>
    <w:rsid w:val="00301147"/>
    <w:rsid w:val="00306F78"/>
    <w:rsid w:val="003141F7"/>
    <w:rsid w:val="00316333"/>
    <w:rsid w:val="0033089F"/>
    <w:rsid w:val="00336218"/>
    <w:rsid w:val="00337237"/>
    <w:rsid w:val="003401E1"/>
    <w:rsid w:val="0034133F"/>
    <w:rsid w:val="003441A8"/>
    <w:rsid w:val="0035657D"/>
    <w:rsid w:val="0036090A"/>
    <w:rsid w:val="00361947"/>
    <w:rsid w:val="00365E43"/>
    <w:rsid w:val="0037386F"/>
    <w:rsid w:val="003745C9"/>
    <w:rsid w:val="00376D68"/>
    <w:rsid w:val="00386D43"/>
    <w:rsid w:val="003A5807"/>
    <w:rsid w:val="003C73F6"/>
    <w:rsid w:val="003D6A40"/>
    <w:rsid w:val="003E1C18"/>
    <w:rsid w:val="003E396E"/>
    <w:rsid w:val="003F2229"/>
    <w:rsid w:val="003F3CB7"/>
    <w:rsid w:val="004124FD"/>
    <w:rsid w:val="00417418"/>
    <w:rsid w:val="004212E4"/>
    <w:rsid w:val="00427889"/>
    <w:rsid w:val="00432A91"/>
    <w:rsid w:val="00440A04"/>
    <w:rsid w:val="00444AD1"/>
    <w:rsid w:val="00446273"/>
    <w:rsid w:val="00462799"/>
    <w:rsid w:val="00465E30"/>
    <w:rsid w:val="00474CBD"/>
    <w:rsid w:val="00475226"/>
    <w:rsid w:val="00485148"/>
    <w:rsid w:val="004874F7"/>
    <w:rsid w:val="00494666"/>
    <w:rsid w:val="004B4825"/>
    <w:rsid w:val="004B6FE2"/>
    <w:rsid w:val="004C0CF7"/>
    <w:rsid w:val="004C5D55"/>
    <w:rsid w:val="004D709B"/>
    <w:rsid w:val="004E6425"/>
    <w:rsid w:val="004F2FA0"/>
    <w:rsid w:val="004F3FB1"/>
    <w:rsid w:val="0050250A"/>
    <w:rsid w:val="00505AE5"/>
    <w:rsid w:val="005104BE"/>
    <w:rsid w:val="00525FF1"/>
    <w:rsid w:val="00527917"/>
    <w:rsid w:val="00535C4B"/>
    <w:rsid w:val="00541F70"/>
    <w:rsid w:val="00547E27"/>
    <w:rsid w:val="00551DA8"/>
    <w:rsid w:val="00554741"/>
    <w:rsid w:val="005721E7"/>
    <w:rsid w:val="00576F27"/>
    <w:rsid w:val="00586F15"/>
    <w:rsid w:val="005872AC"/>
    <w:rsid w:val="005A0014"/>
    <w:rsid w:val="005A362A"/>
    <w:rsid w:val="005B5A25"/>
    <w:rsid w:val="005C54BA"/>
    <w:rsid w:val="005C55E2"/>
    <w:rsid w:val="005C6C65"/>
    <w:rsid w:val="00602275"/>
    <w:rsid w:val="00612400"/>
    <w:rsid w:val="0061567E"/>
    <w:rsid w:val="00632050"/>
    <w:rsid w:val="00634707"/>
    <w:rsid w:val="00634B3E"/>
    <w:rsid w:val="0065710B"/>
    <w:rsid w:val="006812F7"/>
    <w:rsid w:val="0068418A"/>
    <w:rsid w:val="006955AD"/>
    <w:rsid w:val="00697FA7"/>
    <w:rsid w:val="006A14D7"/>
    <w:rsid w:val="006A1E98"/>
    <w:rsid w:val="006A385D"/>
    <w:rsid w:val="006B0A92"/>
    <w:rsid w:val="006B411C"/>
    <w:rsid w:val="006C3E0D"/>
    <w:rsid w:val="006C63D9"/>
    <w:rsid w:val="006C685F"/>
    <w:rsid w:val="006D557B"/>
    <w:rsid w:val="006D60D2"/>
    <w:rsid w:val="006F13A6"/>
    <w:rsid w:val="006F1F4D"/>
    <w:rsid w:val="006F6B44"/>
    <w:rsid w:val="00713EC3"/>
    <w:rsid w:val="007238BC"/>
    <w:rsid w:val="007242CF"/>
    <w:rsid w:val="007340FC"/>
    <w:rsid w:val="007368AC"/>
    <w:rsid w:val="00741A9D"/>
    <w:rsid w:val="00744CD2"/>
    <w:rsid w:val="007527DB"/>
    <w:rsid w:val="00754B09"/>
    <w:rsid w:val="00767206"/>
    <w:rsid w:val="00776D09"/>
    <w:rsid w:val="007778BF"/>
    <w:rsid w:val="00781013"/>
    <w:rsid w:val="00796D7B"/>
    <w:rsid w:val="00797A9A"/>
    <w:rsid w:val="007B45B0"/>
    <w:rsid w:val="007B6AA0"/>
    <w:rsid w:val="007C1E97"/>
    <w:rsid w:val="007D2B1B"/>
    <w:rsid w:val="007D6302"/>
    <w:rsid w:val="007F55CB"/>
    <w:rsid w:val="00801AA5"/>
    <w:rsid w:val="0080238C"/>
    <w:rsid w:val="0081085C"/>
    <w:rsid w:val="00810CE2"/>
    <w:rsid w:val="00811903"/>
    <w:rsid w:val="00821617"/>
    <w:rsid w:val="0082438A"/>
    <w:rsid w:val="00830CDD"/>
    <w:rsid w:val="008339E6"/>
    <w:rsid w:val="0083661B"/>
    <w:rsid w:val="008446E3"/>
    <w:rsid w:val="00853210"/>
    <w:rsid w:val="008544AD"/>
    <w:rsid w:val="00862665"/>
    <w:rsid w:val="00863D41"/>
    <w:rsid w:val="00864F0F"/>
    <w:rsid w:val="00866261"/>
    <w:rsid w:val="00877686"/>
    <w:rsid w:val="00881C4F"/>
    <w:rsid w:val="008831D4"/>
    <w:rsid w:val="008A4E72"/>
    <w:rsid w:val="008C2AF9"/>
    <w:rsid w:val="008C5EBF"/>
    <w:rsid w:val="008D7D13"/>
    <w:rsid w:val="008E2E90"/>
    <w:rsid w:val="008E3A3B"/>
    <w:rsid w:val="00900332"/>
    <w:rsid w:val="00902A92"/>
    <w:rsid w:val="009058F9"/>
    <w:rsid w:val="00910CC5"/>
    <w:rsid w:val="00911B15"/>
    <w:rsid w:val="0092416F"/>
    <w:rsid w:val="00925785"/>
    <w:rsid w:val="009273AA"/>
    <w:rsid w:val="009330C1"/>
    <w:rsid w:val="00944FA4"/>
    <w:rsid w:val="009713F8"/>
    <w:rsid w:val="00973DF0"/>
    <w:rsid w:val="00976306"/>
    <w:rsid w:val="00977657"/>
    <w:rsid w:val="00990628"/>
    <w:rsid w:val="00997905"/>
    <w:rsid w:val="009A70A0"/>
    <w:rsid w:val="009B04EE"/>
    <w:rsid w:val="009B4AB5"/>
    <w:rsid w:val="009B6CCB"/>
    <w:rsid w:val="009C27A9"/>
    <w:rsid w:val="009C2A26"/>
    <w:rsid w:val="009C2F5F"/>
    <w:rsid w:val="009C4132"/>
    <w:rsid w:val="00A00DD7"/>
    <w:rsid w:val="00A0210D"/>
    <w:rsid w:val="00A050ED"/>
    <w:rsid w:val="00A06CB5"/>
    <w:rsid w:val="00A16360"/>
    <w:rsid w:val="00A31A6A"/>
    <w:rsid w:val="00A54D20"/>
    <w:rsid w:val="00A56D66"/>
    <w:rsid w:val="00A648CE"/>
    <w:rsid w:val="00A6752B"/>
    <w:rsid w:val="00A73381"/>
    <w:rsid w:val="00A81763"/>
    <w:rsid w:val="00A82EF7"/>
    <w:rsid w:val="00A86773"/>
    <w:rsid w:val="00A86DDE"/>
    <w:rsid w:val="00AA19EC"/>
    <w:rsid w:val="00AA3646"/>
    <w:rsid w:val="00AD384D"/>
    <w:rsid w:val="00AD5A67"/>
    <w:rsid w:val="00AE2D07"/>
    <w:rsid w:val="00AE606D"/>
    <w:rsid w:val="00AE6E5D"/>
    <w:rsid w:val="00AF445E"/>
    <w:rsid w:val="00B14D4A"/>
    <w:rsid w:val="00B16895"/>
    <w:rsid w:val="00B17F2A"/>
    <w:rsid w:val="00B3604E"/>
    <w:rsid w:val="00B41D63"/>
    <w:rsid w:val="00B46222"/>
    <w:rsid w:val="00B51BAA"/>
    <w:rsid w:val="00B53C72"/>
    <w:rsid w:val="00B745D4"/>
    <w:rsid w:val="00B846D1"/>
    <w:rsid w:val="00B846F4"/>
    <w:rsid w:val="00B847AC"/>
    <w:rsid w:val="00B944FD"/>
    <w:rsid w:val="00BA2DD2"/>
    <w:rsid w:val="00BA6CAB"/>
    <w:rsid w:val="00BB78A7"/>
    <w:rsid w:val="00BD22C7"/>
    <w:rsid w:val="00BE2124"/>
    <w:rsid w:val="00BE24D5"/>
    <w:rsid w:val="00C00BE6"/>
    <w:rsid w:val="00C0237C"/>
    <w:rsid w:val="00C07DC2"/>
    <w:rsid w:val="00C11590"/>
    <w:rsid w:val="00C12919"/>
    <w:rsid w:val="00C1580C"/>
    <w:rsid w:val="00C17841"/>
    <w:rsid w:val="00C20695"/>
    <w:rsid w:val="00C22E6A"/>
    <w:rsid w:val="00C26160"/>
    <w:rsid w:val="00C44FF9"/>
    <w:rsid w:val="00C52A6E"/>
    <w:rsid w:val="00C62E0E"/>
    <w:rsid w:val="00C63A86"/>
    <w:rsid w:val="00C64AE2"/>
    <w:rsid w:val="00C74576"/>
    <w:rsid w:val="00C7629C"/>
    <w:rsid w:val="00C76786"/>
    <w:rsid w:val="00C77D70"/>
    <w:rsid w:val="00C77E9F"/>
    <w:rsid w:val="00C8178E"/>
    <w:rsid w:val="00C94776"/>
    <w:rsid w:val="00CA0F47"/>
    <w:rsid w:val="00CB051C"/>
    <w:rsid w:val="00CC1900"/>
    <w:rsid w:val="00CC5EF1"/>
    <w:rsid w:val="00CD0EA0"/>
    <w:rsid w:val="00CE00AA"/>
    <w:rsid w:val="00CE1911"/>
    <w:rsid w:val="00CE2A40"/>
    <w:rsid w:val="00CF0F47"/>
    <w:rsid w:val="00CF6D1A"/>
    <w:rsid w:val="00D07C37"/>
    <w:rsid w:val="00D130C9"/>
    <w:rsid w:val="00D13299"/>
    <w:rsid w:val="00D171FE"/>
    <w:rsid w:val="00D175AA"/>
    <w:rsid w:val="00D17C66"/>
    <w:rsid w:val="00D37D4A"/>
    <w:rsid w:val="00D37E6F"/>
    <w:rsid w:val="00D41E9F"/>
    <w:rsid w:val="00D46538"/>
    <w:rsid w:val="00D46550"/>
    <w:rsid w:val="00D51864"/>
    <w:rsid w:val="00D623CC"/>
    <w:rsid w:val="00D66AE8"/>
    <w:rsid w:val="00D67CF8"/>
    <w:rsid w:val="00D71010"/>
    <w:rsid w:val="00D7282A"/>
    <w:rsid w:val="00D75642"/>
    <w:rsid w:val="00D86F11"/>
    <w:rsid w:val="00DB28B3"/>
    <w:rsid w:val="00DC4D3D"/>
    <w:rsid w:val="00DD0D7A"/>
    <w:rsid w:val="00DD219C"/>
    <w:rsid w:val="00DE7E42"/>
    <w:rsid w:val="00DF1AF0"/>
    <w:rsid w:val="00E05D76"/>
    <w:rsid w:val="00E07765"/>
    <w:rsid w:val="00E10214"/>
    <w:rsid w:val="00E1158F"/>
    <w:rsid w:val="00E13628"/>
    <w:rsid w:val="00E21774"/>
    <w:rsid w:val="00E26E8E"/>
    <w:rsid w:val="00E3656B"/>
    <w:rsid w:val="00E36939"/>
    <w:rsid w:val="00E4099D"/>
    <w:rsid w:val="00E43903"/>
    <w:rsid w:val="00E50954"/>
    <w:rsid w:val="00E70CB3"/>
    <w:rsid w:val="00E73179"/>
    <w:rsid w:val="00E86823"/>
    <w:rsid w:val="00E918B6"/>
    <w:rsid w:val="00EA149F"/>
    <w:rsid w:val="00EA3D58"/>
    <w:rsid w:val="00EB1674"/>
    <w:rsid w:val="00EB2674"/>
    <w:rsid w:val="00EC25B5"/>
    <w:rsid w:val="00ED1863"/>
    <w:rsid w:val="00EE06C4"/>
    <w:rsid w:val="00EE543C"/>
    <w:rsid w:val="00EF7035"/>
    <w:rsid w:val="00F04CA9"/>
    <w:rsid w:val="00F10249"/>
    <w:rsid w:val="00F2641B"/>
    <w:rsid w:val="00F3460A"/>
    <w:rsid w:val="00F36B6A"/>
    <w:rsid w:val="00F37EAB"/>
    <w:rsid w:val="00F40F85"/>
    <w:rsid w:val="00F43883"/>
    <w:rsid w:val="00F502D5"/>
    <w:rsid w:val="00F524CD"/>
    <w:rsid w:val="00F628D9"/>
    <w:rsid w:val="00F703E7"/>
    <w:rsid w:val="00F7106D"/>
    <w:rsid w:val="00F83C2B"/>
    <w:rsid w:val="00F91742"/>
    <w:rsid w:val="00FB0B0C"/>
    <w:rsid w:val="00FC12C4"/>
    <w:rsid w:val="00FC6C99"/>
    <w:rsid w:val="00FD38B7"/>
    <w:rsid w:val="00FD7BB8"/>
    <w:rsid w:val="00FE15FE"/>
    <w:rsid w:val="00FE49D3"/>
    <w:rsid w:val="00FE4F23"/>
    <w:rsid w:val="00FF08A6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586B40"/>
  <w14:defaultImageDpi w14:val="300"/>
  <w15:chartTrackingRefBased/>
  <w15:docId w15:val="{71A0781B-02CA-8546-82C5-6E25B29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ALetterheadText">
    <w:name w:val="AOA Letterhead Text"/>
    <w:basedOn w:val="Normal"/>
    <w:qFormat/>
    <w:rsid w:val="00200289"/>
    <w:pPr>
      <w:tabs>
        <w:tab w:val="left" w:pos="360"/>
        <w:tab w:val="left" w:pos="720"/>
        <w:tab w:val="left" w:pos="1080"/>
        <w:tab w:val="left" w:pos="1440"/>
        <w:tab w:val="left" w:pos="5520"/>
      </w:tabs>
      <w:suppressAutoHyphens/>
      <w:spacing w:after="280" w:line="280" w:lineRule="exact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6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657"/>
  </w:style>
  <w:style w:type="paragraph" w:styleId="Footer">
    <w:name w:val="footer"/>
    <w:basedOn w:val="Normal"/>
    <w:link w:val="FooterChar"/>
    <w:uiPriority w:val="99"/>
    <w:unhideWhenUsed/>
    <w:rsid w:val="00977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657"/>
  </w:style>
  <w:style w:type="character" w:styleId="Hyperlink">
    <w:name w:val="Hyperlink"/>
    <w:uiPriority w:val="99"/>
    <w:unhideWhenUsed/>
    <w:rsid w:val="00D37D4A"/>
    <w:rPr>
      <w:color w:val="22A49C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9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905"/>
  </w:style>
  <w:style w:type="character" w:styleId="FootnoteReference">
    <w:name w:val="footnote reference"/>
    <w:basedOn w:val="DefaultParagraphFont"/>
    <w:uiPriority w:val="99"/>
    <w:semiHidden/>
    <w:unhideWhenUsed/>
    <w:rsid w:val="009979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7905"/>
    <w:rPr>
      <w:color w:val="605E5C"/>
      <w:shd w:val="clear" w:color="auto" w:fill="E1DFDD"/>
    </w:rPr>
  </w:style>
  <w:style w:type="paragraph" w:customStyle="1" w:styleId="Default">
    <w:name w:val="Default"/>
    <w:rsid w:val="00BE24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0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71"/>
    <w:rsid w:val="009273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7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villarama@osteopathic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hrsa.gov/topics/health-workforce/shortage-a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8C617-B09B-3140-AE39-0FC5923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1584</Words>
  <Characters>9030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Gabriel</cp:lastModifiedBy>
  <cp:revision>2</cp:revision>
  <cp:lastPrinted>2022-08-17T18:35:00Z</cp:lastPrinted>
  <dcterms:created xsi:type="dcterms:W3CDTF">2023-04-14T12:55:00Z</dcterms:created>
  <dcterms:modified xsi:type="dcterms:W3CDTF">2023-04-14T12:55:00Z</dcterms:modified>
</cp:coreProperties>
</file>